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222" w:type="dxa"/>
        <w:tblInd w:w="-147" w:type="dxa"/>
        <w:tblLook w:val="04A0" w:firstRow="1" w:lastRow="0" w:firstColumn="1" w:lastColumn="0" w:noHBand="0" w:noVBand="1"/>
      </w:tblPr>
      <w:tblGrid>
        <w:gridCol w:w="3971"/>
        <w:gridCol w:w="4251"/>
      </w:tblGrid>
      <w:tr w:rsidR="00145EBB" w:rsidRPr="00F4748B" w14:paraId="715A0359" w14:textId="77777777" w:rsidTr="006D0FFD">
        <w:tc>
          <w:tcPr>
            <w:tcW w:w="8222" w:type="dxa"/>
            <w:gridSpan w:val="2"/>
            <w:shd w:val="clear" w:color="auto" w:fill="auto"/>
          </w:tcPr>
          <w:p w14:paraId="75A90CB9" w14:textId="29E1619F" w:rsidR="00145EBB" w:rsidRPr="0086579C" w:rsidRDefault="00145EBB" w:rsidP="0086579C">
            <w:pPr>
              <w:spacing w:after="0" w:line="240" w:lineRule="auto"/>
              <w:ind w:left="39"/>
              <w:rPr>
                <w:rFonts w:ascii="Times New Roman" w:hAnsi="Times New Roman" w:cs="Times New Roman"/>
                <w:color w:val="808080"/>
                <w:sz w:val="18"/>
                <w:szCs w:val="18"/>
                <w:shd w:val="clear" w:color="auto" w:fill="FFFFFF"/>
                <w:lang w:val="en-US"/>
              </w:rPr>
            </w:pPr>
            <w:r w:rsidRPr="00F4748B">
              <w:rPr>
                <w:rFonts w:ascii="Noto Sans" w:hAnsi="Noto Sans" w:cs="Times New Roman"/>
                <w:bCs/>
                <w:color w:val="808080"/>
                <w:sz w:val="18"/>
                <w:szCs w:val="18"/>
              </w:rPr>
              <w:t>Jurna</w:t>
            </w:r>
            <w:r w:rsidR="000368AE">
              <w:rPr>
                <w:rFonts w:ascii="Noto Sans" w:hAnsi="Noto Sans" w:cs="Times New Roman"/>
                <w:bCs/>
                <w:color w:val="808080"/>
                <w:sz w:val="18"/>
                <w:szCs w:val="18"/>
              </w:rPr>
              <w:t>l Penelitian Ilmiah Intaj Vol.0</w:t>
            </w:r>
            <w:r w:rsidR="000E04A2">
              <w:rPr>
                <w:rFonts w:ascii="Noto Sans" w:hAnsi="Noto Sans" w:cs="Times New Roman"/>
                <w:bCs/>
                <w:color w:val="808080"/>
                <w:sz w:val="18"/>
                <w:szCs w:val="18"/>
                <w:lang w:val="en-US"/>
              </w:rPr>
              <w:t>5</w:t>
            </w:r>
            <w:r w:rsidRPr="00F4748B">
              <w:rPr>
                <w:rFonts w:ascii="Noto Sans" w:hAnsi="Noto Sans" w:cs="Times New Roman"/>
                <w:bCs/>
                <w:color w:val="808080"/>
                <w:sz w:val="18"/>
                <w:szCs w:val="18"/>
              </w:rPr>
              <w:t xml:space="preserve"> No.0</w:t>
            </w:r>
            <w:r w:rsidR="000E04A2">
              <w:rPr>
                <w:rFonts w:ascii="Noto Sans" w:hAnsi="Noto Sans" w:cs="Times New Roman"/>
                <w:bCs/>
                <w:color w:val="808080"/>
                <w:sz w:val="18"/>
                <w:szCs w:val="18"/>
                <w:lang w:val="en-US"/>
              </w:rPr>
              <w:t>1</w:t>
            </w:r>
            <w:r w:rsidRPr="00F4748B">
              <w:rPr>
                <w:rFonts w:ascii="Noto Sans" w:hAnsi="Noto Sans" w:cs="Times New Roman"/>
                <w:bCs/>
                <w:color w:val="808080"/>
                <w:sz w:val="18"/>
                <w:szCs w:val="18"/>
              </w:rPr>
              <w:t xml:space="preserve"> 20</w:t>
            </w:r>
            <w:r w:rsidR="001A0AA9">
              <w:rPr>
                <w:rFonts w:ascii="Noto Sans" w:hAnsi="Noto Sans" w:cs="Times New Roman"/>
                <w:bCs/>
                <w:color w:val="808080"/>
                <w:sz w:val="18"/>
                <w:szCs w:val="18"/>
                <w:lang w:val="en-US"/>
              </w:rPr>
              <w:t>2</w:t>
            </w:r>
            <w:r w:rsidR="000E04A2">
              <w:rPr>
                <w:rFonts w:ascii="Noto Sans" w:hAnsi="Noto Sans" w:cs="Times New Roman"/>
                <w:bCs/>
                <w:color w:val="808080"/>
                <w:sz w:val="18"/>
                <w:szCs w:val="18"/>
                <w:lang w:val="en-US"/>
              </w:rPr>
              <w:t>1</w:t>
            </w:r>
            <w:r w:rsidRPr="00F4748B">
              <w:rPr>
                <w:rFonts w:ascii="Noto Sans" w:hAnsi="Noto Sans" w:cs="Times New Roman"/>
                <w:bCs/>
                <w:color w:val="808080"/>
                <w:sz w:val="18"/>
                <w:szCs w:val="18"/>
              </w:rPr>
              <w:t xml:space="preserve"> : </w:t>
            </w:r>
            <w:r w:rsidR="00C613CC">
              <w:rPr>
                <w:rFonts w:ascii="Noto Sans" w:hAnsi="Noto Sans" w:cs="Times New Roman"/>
                <w:bCs/>
                <w:color w:val="808080"/>
                <w:sz w:val="18"/>
                <w:szCs w:val="18"/>
                <w:lang w:val="en-US"/>
              </w:rPr>
              <w:t>1</w:t>
            </w:r>
            <w:r w:rsidRPr="00F4748B">
              <w:rPr>
                <w:rFonts w:ascii="Noto Sans" w:hAnsi="Noto Sans" w:cs="Times New Roman"/>
                <w:bCs/>
                <w:color w:val="808080"/>
                <w:sz w:val="18"/>
                <w:szCs w:val="18"/>
              </w:rPr>
              <w:t xml:space="preserve"> </w:t>
            </w:r>
            <w:r w:rsidR="00C053EB">
              <w:rPr>
                <w:rFonts w:ascii="Noto Sans" w:hAnsi="Noto Sans" w:cs="Times New Roman"/>
                <w:bCs/>
                <w:color w:val="808080"/>
                <w:sz w:val="18"/>
                <w:szCs w:val="18"/>
              </w:rPr>
              <w:t>–</w:t>
            </w:r>
            <w:r w:rsidRPr="00F4748B">
              <w:rPr>
                <w:rFonts w:ascii="Noto Sans" w:hAnsi="Noto Sans" w:cs="Times New Roman"/>
                <w:bCs/>
                <w:color w:val="808080"/>
                <w:sz w:val="18"/>
                <w:szCs w:val="18"/>
              </w:rPr>
              <w:t xml:space="preserve"> </w:t>
            </w:r>
            <w:r w:rsidR="007C2769">
              <w:rPr>
                <w:rFonts w:ascii="Noto Sans" w:hAnsi="Noto Sans" w:cs="Times New Roman"/>
                <w:bCs/>
                <w:color w:val="808080"/>
                <w:sz w:val="18"/>
                <w:szCs w:val="18"/>
                <w:lang w:val="en-US"/>
              </w:rPr>
              <w:t>2</w:t>
            </w:r>
            <w:r w:rsidR="00165F38">
              <w:rPr>
                <w:rFonts w:ascii="Noto Sans" w:hAnsi="Noto Sans" w:cs="Times New Roman"/>
                <w:bCs/>
                <w:color w:val="808080"/>
                <w:sz w:val="18"/>
                <w:szCs w:val="18"/>
                <w:lang w:val="en-US"/>
              </w:rPr>
              <w:t>2</w:t>
            </w:r>
          </w:p>
        </w:tc>
      </w:tr>
      <w:tr w:rsidR="006D0FFD" w:rsidRPr="00F4748B" w14:paraId="40ECE170" w14:textId="77777777" w:rsidTr="006D0FFD">
        <w:tc>
          <w:tcPr>
            <w:tcW w:w="3971" w:type="dxa"/>
            <w:shd w:val="clear" w:color="auto" w:fill="auto"/>
          </w:tcPr>
          <w:p w14:paraId="253F6E23" w14:textId="77777777" w:rsidR="00145EBB" w:rsidRPr="00F4748B" w:rsidRDefault="00145EBB" w:rsidP="00DB74CB">
            <w:pPr>
              <w:spacing w:line="240" w:lineRule="auto"/>
              <w:ind w:left="39"/>
              <w:rPr>
                <w:rFonts w:ascii="Times New Roman" w:hAnsi="Times New Roman" w:cs="Times New Roman"/>
                <w:color w:val="808080"/>
                <w:sz w:val="18"/>
                <w:szCs w:val="18"/>
                <w:shd w:val="clear" w:color="auto" w:fill="FFFFFF"/>
              </w:rPr>
            </w:pPr>
            <w:r w:rsidRPr="00F4748B">
              <w:rPr>
                <w:rFonts w:ascii="Noto Sans" w:hAnsi="Noto Sans" w:cs="Times New Roman"/>
                <w:bCs/>
                <w:color w:val="808080"/>
                <w:sz w:val="18"/>
                <w:szCs w:val="18"/>
              </w:rPr>
              <w:t xml:space="preserve">ISSN </w:t>
            </w:r>
            <w:r w:rsidRPr="00F4748B">
              <w:rPr>
                <w:rFonts w:ascii="Noto Sans" w:hAnsi="Noto Sans"/>
                <w:color w:val="808080"/>
                <w:sz w:val="18"/>
                <w:szCs w:val="18"/>
                <w:shd w:val="clear" w:color="auto" w:fill="FFFFFF"/>
              </w:rPr>
              <w:t>2549-2624 | eISSN 2580-4650</w:t>
            </w:r>
          </w:p>
        </w:tc>
        <w:tc>
          <w:tcPr>
            <w:tcW w:w="4251" w:type="dxa"/>
            <w:shd w:val="clear" w:color="auto" w:fill="auto"/>
          </w:tcPr>
          <w:p w14:paraId="0D70F17C" w14:textId="5F3A59CA" w:rsidR="00145EBB" w:rsidRPr="000368AE" w:rsidRDefault="00145EBB" w:rsidP="00DB74CB">
            <w:pPr>
              <w:spacing w:line="240" w:lineRule="auto"/>
              <w:ind w:left="39"/>
              <w:jc w:val="right"/>
              <w:rPr>
                <w:rFonts w:ascii="Noto Sans" w:hAnsi="Noto Sans" w:cs="Times New Roman"/>
                <w:bCs/>
                <w:color w:val="808080"/>
                <w:sz w:val="18"/>
                <w:szCs w:val="18"/>
                <w:lang w:val="en-US"/>
              </w:rPr>
            </w:pPr>
            <w:r w:rsidRPr="00F4748B">
              <w:rPr>
                <w:rFonts w:ascii="Times New Roman" w:hAnsi="Times New Roman" w:cs="Times New Roman"/>
                <w:color w:val="808080"/>
                <w:sz w:val="18"/>
                <w:szCs w:val="18"/>
                <w:shd w:val="clear" w:color="auto" w:fill="FFFFFF"/>
              </w:rPr>
              <w:t>©</w:t>
            </w:r>
            <w:r w:rsidR="00E40D89">
              <w:rPr>
                <w:rFonts w:ascii="Noto Sans" w:hAnsi="Noto Sans"/>
                <w:color w:val="808080"/>
                <w:sz w:val="18"/>
                <w:szCs w:val="18"/>
                <w:shd w:val="clear" w:color="auto" w:fill="FFFFFF"/>
              </w:rPr>
              <w:t xml:space="preserve"> INTAJ 20</w:t>
            </w:r>
            <w:r w:rsidR="001A0AA9">
              <w:rPr>
                <w:rFonts w:ascii="Noto Sans" w:hAnsi="Noto Sans"/>
                <w:color w:val="808080"/>
                <w:sz w:val="18"/>
                <w:szCs w:val="18"/>
                <w:shd w:val="clear" w:color="auto" w:fill="FFFFFF"/>
                <w:lang w:val="en-US"/>
              </w:rPr>
              <w:t>2</w:t>
            </w:r>
            <w:r w:rsidR="00C613CC">
              <w:rPr>
                <w:rFonts w:ascii="Noto Sans" w:hAnsi="Noto Sans"/>
                <w:color w:val="808080"/>
                <w:sz w:val="18"/>
                <w:szCs w:val="18"/>
                <w:shd w:val="clear" w:color="auto" w:fill="FFFFFF"/>
                <w:lang w:val="en-US"/>
              </w:rPr>
              <w:t>1</w:t>
            </w:r>
          </w:p>
        </w:tc>
      </w:tr>
    </w:tbl>
    <w:p w14:paraId="1421E5B4" w14:textId="77777777" w:rsidR="00333210" w:rsidRPr="00F4748B" w:rsidRDefault="00333210" w:rsidP="00DB74CB">
      <w:pPr>
        <w:spacing w:after="0" w:line="240" w:lineRule="auto"/>
        <w:jc w:val="center"/>
        <w:rPr>
          <w:rFonts w:ascii="Times New Roman" w:hAnsi="Times New Roman" w:cs="Times New Roman"/>
          <w:bCs/>
          <w:sz w:val="24"/>
          <w:szCs w:val="24"/>
        </w:rPr>
      </w:pPr>
    </w:p>
    <w:p w14:paraId="7375E774" w14:textId="77777777" w:rsidR="00E540D4" w:rsidRPr="00F4748B" w:rsidRDefault="00B37F88" w:rsidP="00DB74CB">
      <w:pPr>
        <w:spacing w:after="0" w:line="240" w:lineRule="auto"/>
        <w:jc w:val="center"/>
        <w:rPr>
          <w:rFonts w:ascii="Times New Roman" w:hAnsi="Times New Roman" w:cs="Times New Roman"/>
          <w:bCs/>
          <w:sz w:val="24"/>
          <w:szCs w:val="24"/>
        </w:rPr>
      </w:pPr>
      <w:r w:rsidRPr="00F4748B">
        <w:rPr>
          <w:rFonts w:ascii="Times New Roman" w:hAnsi="Times New Roman" w:cs="Times New Roman"/>
          <w:bCs/>
          <w:noProof/>
          <w:sz w:val="24"/>
          <w:szCs w:val="24"/>
          <w:lang w:val="en-US"/>
        </w:rPr>
        <w:drawing>
          <wp:inline distT="0" distB="0" distL="0" distR="0" wp14:anchorId="4FB1613B" wp14:editId="62EBE44E">
            <wp:extent cx="1043796" cy="936346"/>
            <wp:effectExtent l="0" t="0" r="4445" b="0"/>
            <wp:docPr id="1" name="Picture 1" descr="D:\PROJECT\2016-10-30 JURNAL INTAJ\logo-w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JECT\2016-10-30 JURNAL INTAJ\logo-wht.png"/>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l="14326" t="20332" r="14307" b="17342"/>
                    <a:stretch>
                      <a:fillRect/>
                    </a:stretch>
                  </pic:blipFill>
                  <pic:spPr bwMode="auto">
                    <a:xfrm>
                      <a:off x="0" y="0"/>
                      <a:ext cx="1044956" cy="937387"/>
                    </a:xfrm>
                    <a:prstGeom prst="rect">
                      <a:avLst/>
                    </a:prstGeom>
                    <a:noFill/>
                    <a:ln>
                      <a:noFill/>
                    </a:ln>
                  </pic:spPr>
                </pic:pic>
              </a:graphicData>
            </a:graphic>
          </wp:inline>
        </w:drawing>
      </w:r>
    </w:p>
    <w:p w14:paraId="0D3D4EC5" w14:textId="77777777" w:rsidR="00333210" w:rsidRPr="00F4748B" w:rsidRDefault="00333210" w:rsidP="00DB74CB">
      <w:pPr>
        <w:spacing w:after="0" w:line="240" w:lineRule="auto"/>
        <w:rPr>
          <w:rFonts w:ascii="Times New Roman" w:hAnsi="Times New Roman" w:cs="Times New Roman"/>
          <w:bCs/>
          <w:sz w:val="24"/>
          <w:szCs w:val="24"/>
        </w:rPr>
      </w:pPr>
    </w:p>
    <w:p w14:paraId="13C808F1" w14:textId="77777777" w:rsidR="00C613CC" w:rsidRPr="00C613CC" w:rsidRDefault="00C613CC" w:rsidP="00C613CC">
      <w:pPr>
        <w:spacing w:after="0" w:line="240" w:lineRule="auto"/>
        <w:jc w:val="center"/>
        <w:rPr>
          <w:rFonts w:ascii="Bebas Neue" w:hAnsi="Bebas Neue" w:cs="Times New Roman"/>
          <w:sz w:val="32"/>
          <w:szCs w:val="32"/>
          <w:lang w:val="en-US"/>
        </w:rPr>
      </w:pPr>
      <w:r w:rsidRPr="00C613CC">
        <w:rPr>
          <w:rFonts w:ascii="Bebas Neue" w:hAnsi="Bebas Neue" w:cs="Times New Roman"/>
          <w:sz w:val="32"/>
          <w:szCs w:val="32"/>
          <w:lang w:val="en-US"/>
        </w:rPr>
        <w:t xml:space="preserve">RELASI DINAMIS TRILOGI METODE </w:t>
      </w:r>
      <w:r w:rsidRPr="00C613CC">
        <w:rPr>
          <w:rFonts w:ascii="Bebas Neue" w:hAnsi="Bebas Neue" w:cs="Times New Roman"/>
          <w:i/>
          <w:iCs/>
          <w:sz w:val="32"/>
          <w:szCs w:val="32"/>
          <w:lang w:val="en-US"/>
        </w:rPr>
        <w:t>ISTINBĀTH</w:t>
      </w:r>
      <w:r w:rsidRPr="00C613CC">
        <w:rPr>
          <w:rFonts w:ascii="Bebas Neue" w:hAnsi="Bebas Neue" w:cs="Times New Roman"/>
          <w:sz w:val="32"/>
          <w:szCs w:val="32"/>
          <w:lang w:val="en-US"/>
        </w:rPr>
        <w:t xml:space="preserve"> </w:t>
      </w:r>
    </w:p>
    <w:p w14:paraId="47B5DE96" w14:textId="72002D07" w:rsidR="00587396" w:rsidRDefault="00C613CC" w:rsidP="00C613CC">
      <w:pPr>
        <w:spacing w:after="0" w:line="240" w:lineRule="auto"/>
        <w:jc w:val="center"/>
        <w:rPr>
          <w:rFonts w:ascii="Bebas Neue" w:hAnsi="Bebas Neue" w:cs="Times New Roman"/>
          <w:sz w:val="32"/>
          <w:szCs w:val="32"/>
          <w:lang w:val="en-US"/>
        </w:rPr>
      </w:pPr>
      <w:r w:rsidRPr="00C613CC">
        <w:rPr>
          <w:rFonts w:ascii="Bebas Neue" w:hAnsi="Bebas Neue" w:cs="Times New Roman"/>
          <w:sz w:val="32"/>
          <w:szCs w:val="32"/>
          <w:lang w:val="en-US"/>
        </w:rPr>
        <w:t>DALAM BAHTSUL MASAIL NU</w:t>
      </w:r>
    </w:p>
    <w:p w14:paraId="0BCC5FC1" w14:textId="77777777" w:rsidR="00C613CC" w:rsidRPr="00120720" w:rsidRDefault="00C613CC" w:rsidP="00C613CC">
      <w:pPr>
        <w:spacing w:after="0" w:line="240" w:lineRule="auto"/>
        <w:jc w:val="center"/>
        <w:rPr>
          <w:rFonts w:ascii="Minion Pro" w:hAnsi="Minion Pro"/>
          <w:bCs/>
        </w:rPr>
      </w:pPr>
    </w:p>
    <w:p w14:paraId="6A694BEF" w14:textId="6CE19716" w:rsidR="000809EF" w:rsidRDefault="00C613CC" w:rsidP="00C613CC">
      <w:pPr>
        <w:spacing w:after="0" w:line="240" w:lineRule="auto"/>
        <w:jc w:val="center"/>
        <w:rPr>
          <w:rFonts w:ascii="Minion Pro" w:hAnsi="Minion Pro"/>
          <w:bCs/>
          <w:lang w:val="en-US"/>
        </w:rPr>
      </w:pPr>
      <w:r w:rsidRPr="00C613CC">
        <w:rPr>
          <w:rFonts w:ascii="Minion Pro" w:hAnsi="Minion Pro"/>
          <w:bCs/>
          <w:lang w:val="en-US"/>
        </w:rPr>
        <w:t xml:space="preserve">Muhammad </w:t>
      </w:r>
      <w:proofErr w:type="spellStart"/>
      <w:r w:rsidRPr="00C613CC">
        <w:rPr>
          <w:rFonts w:ascii="Minion Pro" w:hAnsi="Minion Pro"/>
          <w:bCs/>
          <w:lang w:val="en-US"/>
        </w:rPr>
        <w:t>Adib</w:t>
      </w:r>
      <w:proofErr w:type="spellEnd"/>
      <w:r w:rsidRPr="00C613CC">
        <w:rPr>
          <w:rFonts w:ascii="Minion Pro" w:hAnsi="Minion Pro"/>
          <w:bCs/>
        </w:rPr>
        <w:t xml:space="preserve"> (</w:t>
      </w:r>
      <w:r>
        <w:rPr>
          <w:rFonts w:ascii="Minion Pro" w:hAnsi="Minion Pro"/>
          <w:bCs/>
          <w:lang w:val="en-US"/>
        </w:rPr>
        <w:fldChar w:fldCharType="begin"/>
      </w:r>
      <w:r>
        <w:rPr>
          <w:rFonts w:ascii="Minion Pro" w:hAnsi="Minion Pro"/>
          <w:bCs/>
          <w:lang w:val="en-US"/>
        </w:rPr>
        <w:instrText xml:space="preserve"> HYPERLINK "mailto:</w:instrText>
      </w:r>
      <w:r w:rsidRPr="00C613CC">
        <w:rPr>
          <w:rFonts w:ascii="Minion Pro" w:hAnsi="Minion Pro"/>
          <w:bCs/>
          <w:lang w:val="en-US"/>
        </w:rPr>
        <w:instrText>adib@alqolam.ac.id</w:instrText>
      </w:r>
      <w:r>
        <w:rPr>
          <w:rFonts w:ascii="Minion Pro" w:hAnsi="Minion Pro"/>
          <w:bCs/>
          <w:lang w:val="en-US"/>
        </w:rPr>
        <w:instrText xml:space="preserve">" </w:instrText>
      </w:r>
      <w:r>
        <w:rPr>
          <w:rFonts w:ascii="Minion Pro" w:hAnsi="Minion Pro"/>
          <w:bCs/>
          <w:lang w:val="en-US"/>
        </w:rPr>
        <w:fldChar w:fldCharType="separate"/>
      </w:r>
      <w:r w:rsidRPr="00FA34C6">
        <w:rPr>
          <w:rStyle w:val="Hyperlink"/>
          <w:rFonts w:ascii="Minion Pro" w:hAnsi="Minion Pro"/>
          <w:bCs/>
          <w:lang w:val="en-US"/>
        </w:rPr>
        <w:t>adib@alqolam.ac.id</w:t>
      </w:r>
      <w:r>
        <w:rPr>
          <w:rFonts w:ascii="Minion Pro" w:hAnsi="Minion Pro"/>
          <w:bCs/>
          <w:lang w:val="en-US"/>
        </w:rPr>
        <w:fldChar w:fldCharType="end"/>
      </w:r>
      <w:r w:rsidRPr="00C613CC">
        <w:rPr>
          <w:rFonts w:ascii="Minion Pro" w:hAnsi="Minion Pro"/>
          <w:bCs/>
        </w:rPr>
        <w:t>)</w:t>
      </w:r>
    </w:p>
    <w:p w14:paraId="6B7CD083" w14:textId="51B7A1AE" w:rsidR="00490AE8" w:rsidRDefault="00766F42" w:rsidP="00C613CC">
      <w:pPr>
        <w:spacing w:after="0" w:line="240" w:lineRule="auto"/>
        <w:jc w:val="center"/>
        <w:rPr>
          <w:rFonts w:ascii="Minion Pro" w:hAnsi="Minion Pro"/>
          <w:bCs/>
          <w:lang w:val="en-US"/>
        </w:rPr>
      </w:pPr>
      <w:r>
        <w:rPr>
          <w:rFonts w:ascii="Minion Pro" w:hAnsi="Minion Pro"/>
          <w:bCs/>
          <w:lang w:val="en-US"/>
        </w:rPr>
        <w:t xml:space="preserve"> </w:t>
      </w:r>
      <w:r w:rsidR="00C613CC" w:rsidRPr="00C613CC">
        <w:rPr>
          <w:rFonts w:ascii="Minion Pro" w:hAnsi="Minion Pro"/>
          <w:bCs/>
        </w:rPr>
        <w:t>Muhammad Hasbulloh Huda (</w:t>
      </w:r>
      <w:r w:rsidR="00C613CC">
        <w:rPr>
          <w:rFonts w:ascii="Minion Pro" w:hAnsi="Minion Pro"/>
          <w:bCs/>
          <w:lang w:val="en-US"/>
        </w:rPr>
        <w:fldChar w:fldCharType="begin"/>
      </w:r>
      <w:r w:rsidR="00C613CC">
        <w:rPr>
          <w:rFonts w:ascii="Minion Pro" w:hAnsi="Minion Pro"/>
          <w:bCs/>
          <w:lang w:val="en-US"/>
        </w:rPr>
        <w:instrText xml:space="preserve"> HYPERLINK "mailto:</w:instrText>
      </w:r>
      <w:r w:rsidR="00C613CC" w:rsidRPr="00C613CC">
        <w:rPr>
          <w:rFonts w:ascii="Minion Pro" w:hAnsi="Minion Pro"/>
          <w:bCs/>
          <w:lang w:val="en-US"/>
        </w:rPr>
        <w:instrText>mhhuda@alqolam.ac.id</w:instrText>
      </w:r>
      <w:r w:rsidR="00C613CC">
        <w:rPr>
          <w:rFonts w:ascii="Minion Pro" w:hAnsi="Minion Pro"/>
          <w:bCs/>
          <w:lang w:val="en-US"/>
        </w:rPr>
        <w:instrText xml:space="preserve">" </w:instrText>
      </w:r>
      <w:r w:rsidR="00C613CC">
        <w:rPr>
          <w:rFonts w:ascii="Minion Pro" w:hAnsi="Minion Pro"/>
          <w:bCs/>
          <w:lang w:val="en-US"/>
        </w:rPr>
        <w:fldChar w:fldCharType="separate"/>
      </w:r>
      <w:r w:rsidR="00C613CC" w:rsidRPr="00FA34C6">
        <w:rPr>
          <w:rStyle w:val="Hyperlink"/>
          <w:rFonts w:ascii="Minion Pro" w:hAnsi="Minion Pro"/>
          <w:bCs/>
          <w:lang w:val="en-US"/>
        </w:rPr>
        <w:t>mhhuda@alqolam.ac.id</w:t>
      </w:r>
      <w:r w:rsidR="00C613CC">
        <w:rPr>
          <w:rFonts w:ascii="Minion Pro" w:hAnsi="Minion Pro"/>
          <w:bCs/>
          <w:lang w:val="en-US"/>
        </w:rPr>
        <w:fldChar w:fldCharType="end"/>
      </w:r>
      <w:r w:rsidR="00C613CC" w:rsidRPr="00C613CC">
        <w:rPr>
          <w:rFonts w:ascii="Minion Pro" w:hAnsi="Minion Pro"/>
          <w:bCs/>
        </w:rPr>
        <w:t>)</w:t>
      </w:r>
      <w:r w:rsidR="00490AE8">
        <w:rPr>
          <w:rFonts w:ascii="Minion Pro" w:hAnsi="Minion Pro"/>
          <w:bCs/>
          <w:lang w:val="en-US"/>
        </w:rPr>
        <w:t xml:space="preserve"> </w:t>
      </w:r>
    </w:p>
    <w:p w14:paraId="3423906F" w14:textId="0CC26927" w:rsidR="000809EF" w:rsidRPr="009E6258" w:rsidRDefault="000D6C25" w:rsidP="00766F42">
      <w:pPr>
        <w:spacing w:line="240" w:lineRule="auto"/>
        <w:jc w:val="center"/>
        <w:rPr>
          <w:rFonts w:ascii="Minion Pro" w:hAnsi="Minion Pro"/>
          <w:lang w:val="en-US"/>
        </w:rPr>
      </w:pPr>
      <w:proofErr w:type="spellStart"/>
      <w:r>
        <w:rPr>
          <w:rFonts w:ascii="Minion Pro" w:hAnsi="Minion Pro" w:cs="Times New Roman"/>
          <w:bCs/>
          <w:i/>
          <w:iCs/>
          <w:lang w:val="en-US"/>
        </w:rPr>
        <w:t>Institut</w:t>
      </w:r>
      <w:proofErr w:type="spellEnd"/>
      <w:r>
        <w:rPr>
          <w:rFonts w:ascii="Minion Pro" w:hAnsi="Minion Pro" w:cs="Times New Roman"/>
          <w:bCs/>
          <w:i/>
          <w:iCs/>
          <w:lang w:val="en-US"/>
        </w:rPr>
        <w:t xml:space="preserve"> Agama Islam Al-Qolam Malang</w:t>
      </w:r>
    </w:p>
    <w:p w14:paraId="2E58250E" w14:textId="7DE4BB8D" w:rsidR="000501C3" w:rsidRPr="00F4748B" w:rsidRDefault="000501C3" w:rsidP="00EF5C88">
      <w:pPr>
        <w:spacing w:after="0" w:line="240" w:lineRule="auto"/>
        <w:jc w:val="center"/>
        <w:rPr>
          <w:rFonts w:ascii="Minion Pro" w:hAnsi="Minion Pro" w:cs="Times New Roman"/>
          <w:bCs/>
          <w:i/>
          <w:iCs/>
        </w:rPr>
      </w:pPr>
    </w:p>
    <w:p w14:paraId="388C12B8" w14:textId="497C3DD9" w:rsidR="00952A0C" w:rsidRPr="00F4748B" w:rsidRDefault="00952A0C" w:rsidP="00934A4B">
      <w:pPr>
        <w:spacing w:after="0" w:line="240" w:lineRule="auto"/>
        <w:jc w:val="both"/>
        <w:rPr>
          <w:rFonts w:ascii="Noto Sans" w:hAnsi="Noto Sans" w:cs="Calibri"/>
          <w:sz w:val="18"/>
          <w:szCs w:val="18"/>
        </w:rPr>
      </w:pPr>
      <w:r w:rsidRPr="00F4748B">
        <w:rPr>
          <w:rFonts w:ascii="Noto Sans" w:hAnsi="Noto Sans"/>
          <w:color w:val="7E7E7E"/>
          <w:spacing w:val="-1"/>
          <w:sz w:val="18"/>
          <w:szCs w:val="18"/>
        </w:rPr>
        <w:t xml:space="preserve">(Received: </w:t>
      </w:r>
      <w:proofErr w:type="spellStart"/>
      <w:r w:rsidR="0076479F">
        <w:rPr>
          <w:rFonts w:ascii="Noto Sans" w:hAnsi="Noto Sans"/>
          <w:color w:val="7E7E7E"/>
          <w:sz w:val="18"/>
          <w:szCs w:val="18"/>
          <w:lang w:val="en-US"/>
        </w:rPr>
        <w:t>J</w:t>
      </w:r>
      <w:r w:rsidR="007C2769">
        <w:rPr>
          <w:rFonts w:ascii="Noto Sans" w:hAnsi="Noto Sans"/>
          <w:color w:val="7E7E7E"/>
          <w:sz w:val="18"/>
          <w:szCs w:val="18"/>
          <w:lang w:val="en-US"/>
        </w:rPr>
        <w:t>anuari</w:t>
      </w:r>
      <w:proofErr w:type="spellEnd"/>
      <w:r w:rsidR="000D6C25">
        <w:rPr>
          <w:rFonts w:ascii="Noto Sans" w:hAnsi="Noto Sans"/>
          <w:color w:val="7E7E7E"/>
          <w:sz w:val="18"/>
          <w:szCs w:val="18"/>
          <w:lang w:val="en-US"/>
        </w:rPr>
        <w:t xml:space="preserve"> </w:t>
      </w:r>
      <w:r w:rsidR="00EF5128" w:rsidRPr="00F4748B">
        <w:rPr>
          <w:rFonts w:ascii="Noto Sans" w:hAnsi="Noto Sans"/>
          <w:color w:val="7E7E7E"/>
          <w:sz w:val="18"/>
          <w:szCs w:val="18"/>
        </w:rPr>
        <w:t>20</w:t>
      </w:r>
      <w:r w:rsidR="000D6C25">
        <w:rPr>
          <w:rFonts w:ascii="Noto Sans" w:hAnsi="Noto Sans"/>
          <w:color w:val="7E7E7E"/>
          <w:sz w:val="18"/>
          <w:szCs w:val="18"/>
          <w:lang w:val="en-US"/>
        </w:rPr>
        <w:t>2</w:t>
      </w:r>
      <w:r w:rsidR="007C2769">
        <w:rPr>
          <w:rFonts w:ascii="Noto Sans" w:hAnsi="Noto Sans"/>
          <w:color w:val="7E7E7E"/>
          <w:sz w:val="18"/>
          <w:szCs w:val="18"/>
          <w:lang w:val="en-US"/>
        </w:rPr>
        <w:t>1</w:t>
      </w:r>
      <w:r w:rsidRPr="00F4748B">
        <w:rPr>
          <w:rFonts w:ascii="Noto Sans" w:hAnsi="Noto Sans"/>
          <w:color w:val="7E7E7E"/>
          <w:spacing w:val="2"/>
          <w:sz w:val="18"/>
          <w:szCs w:val="18"/>
        </w:rPr>
        <w:t xml:space="preserve"> </w:t>
      </w:r>
      <w:r w:rsidRPr="00F4748B">
        <w:rPr>
          <w:rFonts w:ascii="Noto Sans" w:hAnsi="Noto Sans"/>
          <w:color w:val="7E7E7E"/>
          <w:sz w:val="18"/>
          <w:szCs w:val="18"/>
        </w:rPr>
        <w:t>/</w:t>
      </w:r>
      <w:r w:rsidRPr="00F4748B">
        <w:rPr>
          <w:rFonts w:ascii="Noto Sans" w:hAnsi="Noto Sans"/>
          <w:color w:val="7E7E7E"/>
          <w:spacing w:val="-1"/>
          <w:sz w:val="18"/>
          <w:szCs w:val="18"/>
        </w:rPr>
        <w:t xml:space="preserve"> Revised:</w:t>
      </w:r>
      <w:r w:rsidRPr="00F4748B">
        <w:rPr>
          <w:rFonts w:ascii="Noto Sans" w:hAnsi="Noto Sans"/>
          <w:color w:val="7E7E7E"/>
          <w:spacing w:val="1"/>
          <w:sz w:val="18"/>
          <w:szCs w:val="18"/>
        </w:rPr>
        <w:t xml:space="preserve"> </w:t>
      </w:r>
      <w:proofErr w:type="spellStart"/>
      <w:r w:rsidR="007C2769">
        <w:rPr>
          <w:rFonts w:ascii="Noto Sans" w:hAnsi="Noto Sans"/>
          <w:color w:val="7E7E7E"/>
          <w:spacing w:val="1"/>
          <w:sz w:val="18"/>
          <w:szCs w:val="18"/>
          <w:lang w:val="en-US"/>
        </w:rPr>
        <w:t>Januari</w:t>
      </w:r>
      <w:proofErr w:type="spellEnd"/>
      <w:r w:rsidR="0076479F">
        <w:rPr>
          <w:rFonts w:ascii="Noto Sans" w:hAnsi="Noto Sans"/>
          <w:color w:val="7E7E7E"/>
          <w:spacing w:val="1"/>
          <w:sz w:val="18"/>
          <w:szCs w:val="18"/>
          <w:lang w:val="en-US"/>
        </w:rPr>
        <w:t xml:space="preserve"> </w:t>
      </w:r>
      <w:r w:rsidR="00EF5128" w:rsidRPr="00F4748B">
        <w:rPr>
          <w:rFonts w:ascii="Noto Sans" w:hAnsi="Noto Sans"/>
          <w:color w:val="7E7E7E"/>
          <w:sz w:val="18"/>
          <w:szCs w:val="18"/>
        </w:rPr>
        <w:t>20</w:t>
      </w:r>
      <w:r w:rsidR="000D6C25">
        <w:rPr>
          <w:rFonts w:ascii="Noto Sans" w:hAnsi="Noto Sans"/>
          <w:color w:val="7E7E7E"/>
          <w:sz w:val="18"/>
          <w:szCs w:val="18"/>
          <w:lang w:val="en-US"/>
        </w:rPr>
        <w:t>2</w:t>
      </w:r>
      <w:r w:rsidR="007C2769">
        <w:rPr>
          <w:rFonts w:ascii="Noto Sans" w:hAnsi="Noto Sans"/>
          <w:color w:val="7E7E7E"/>
          <w:sz w:val="18"/>
          <w:szCs w:val="18"/>
          <w:lang w:val="en-US"/>
        </w:rPr>
        <w:t>1</w:t>
      </w:r>
      <w:r w:rsidR="00855343" w:rsidRPr="00F4748B">
        <w:rPr>
          <w:rFonts w:ascii="Noto Sans" w:hAnsi="Noto Sans"/>
          <w:color w:val="7E7E7E"/>
          <w:sz w:val="18"/>
          <w:szCs w:val="18"/>
        </w:rPr>
        <w:t xml:space="preserve"> </w:t>
      </w:r>
      <w:r w:rsidRPr="00F4748B">
        <w:rPr>
          <w:rFonts w:ascii="Noto Sans" w:hAnsi="Noto Sans"/>
          <w:color w:val="7E7E7E"/>
          <w:sz w:val="18"/>
          <w:szCs w:val="18"/>
        </w:rPr>
        <w:t>/</w:t>
      </w:r>
      <w:r w:rsidRPr="00F4748B">
        <w:rPr>
          <w:rFonts w:ascii="Noto Sans" w:hAnsi="Noto Sans"/>
          <w:color w:val="7E7E7E"/>
          <w:spacing w:val="-1"/>
          <w:sz w:val="18"/>
          <w:szCs w:val="18"/>
        </w:rPr>
        <w:t xml:space="preserve"> Accepted:</w:t>
      </w:r>
      <w:r w:rsidR="00855343" w:rsidRPr="00F4748B">
        <w:rPr>
          <w:rFonts w:ascii="Noto Sans" w:hAnsi="Noto Sans"/>
          <w:color w:val="7E7E7E"/>
          <w:sz w:val="18"/>
          <w:szCs w:val="18"/>
        </w:rPr>
        <w:t xml:space="preserve"> </w:t>
      </w:r>
      <w:proofErr w:type="spellStart"/>
      <w:r w:rsidR="007C2769">
        <w:rPr>
          <w:rFonts w:ascii="Noto Sans" w:hAnsi="Noto Sans"/>
          <w:color w:val="7E7E7E"/>
          <w:sz w:val="18"/>
          <w:szCs w:val="18"/>
          <w:lang w:val="en-US"/>
        </w:rPr>
        <w:t>Februari</w:t>
      </w:r>
      <w:proofErr w:type="spellEnd"/>
      <w:r w:rsidR="007C2769">
        <w:rPr>
          <w:rFonts w:ascii="Noto Sans" w:hAnsi="Noto Sans"/>
          <w:color w:val="7E7E7E"/>
          <w:sz w:val="18"/>
          <w:szCs w:val="18"/>
          <w:lang w:val="en-US"/>
        </w:rPr>
        <w:t xml:space="preserve"> 2021</w:t>
      </w:r>
      <w:r w:rsidRPr="00F4748B">
        <w:rPr>
          <w:rFonts w:ascii="Noto Sans" w:hAnsi="Noto Sans"/>
          <w:color w:val="7E7E7E"/>
          <w:spacing w:val="-1"/>
          <w:sz w:val="18"/>
          <w:szCs w:val="18"/>
        </w:rPr>
        <w:t>)</w:t>
      </w:r>
    </w:p>
    <w:p w14:paraId="70B6F3FC" w14:textId="77777777" w:rsidR="00333210" w:rsidRPr="00F4748B" w:rsidRDefault="00333210" w:rsidP="00DB74CB">
      <w:pPr>
        <w:spacing w:line="240" w:lineRule="auto"/>
        <w:rPr>
          <w:rFonts w:ascii="Times New Roman" w:hAnsi="Times New Roman" w:cs="Times New Roman"/>
          <w:b/>
          <w:sz w:val="24"/>
          <w:szCs w:val="24"/>
        </w:rPr>
      </w:pPr>
      <w:r w:rsidRPr="00F4748B">
        <w:rPr>
          <w:rFonts w:ascii="Times New Roman" w:hAnsi="Times New Roman" w:cs="Times New Roman"/>
          <w:b/>
          <w:sz w:val="24"/>
          <w:szCs w:val="24"/>
        </w:rPr>
        <w:t>__________________________________________________________________</w:t>
      </w:r>
    </w:p>
    <w:p w14:paraId="35BAEDE7" w14:textId="77777777" w:rsidR="00952A0C" w:rsidRPr="00F4748B" w:rsidRDefault="00952A0C" w:rsidP="00DB74CB">
      <w:pPr>
        <w:spacing w:line="240" w:lineRule="auto"/>
        <w:rPr>
          <w:rFonts w:ascii="Minion Pro" w:hAnsi="Minion Pro" w:cs="Times New Roman"/>
          <w:b/>
        </w:rPr>
      </w:pPr>
      <w:r w:rsidRPr="00F4748B">
        <w:rPr>
          <w:rFonts w:ascii="Minion Pro" w:hAnsi="Minion Pro" w:cs="Times New Roman"/>
          <w:b/>
        </w:rPr>
        <w:t>ABSTRA</w:t>
      </w:r>
      <w:r w:rsidR="000743BF" w:rsidRPr="00F4748B">
        <w:rPr>
          <w:rFonts w:ascii="Minion Pro" w:hAnsi="Minion Pro" w:cs="Times New Roman"/>
          <w:b/>
        </w:rPr>
        <w:t>CT</w:t>
      </w:r>
    </w:p>
    <w:p w14:paraId="11D9203D" w14:textId="281C377E" w:rsidR="00AF6683" w:rsidRDefault="00C613CC" w:rsidP="00C613CC">
      <w:pPr>
        <w:spacing w:line="240" w:lineRule="auto"/>
        <w:jc w:val="both"/>
        <w:rPr>
          <w:rFonts w:ascii="Minion Pro" w:eastAsia="Times New Roman" w:hAnsi="Minion Pro" w:cs="Times New Roman"/>
          <w:bCs/>
          <w:iCs/>
          <w:color w:val="222222"/>
          <w:sz w:val="20"/>
          <w:szCs w:val="20"/>
          <w:lang w:val="en-US"/>
        </w:rPr>
      </w:pPr>
      <w:r w:rsidRPr="00C613CC">
        <w:rPr>
          <w:rFonts w:ascii="Minion Pro" w:eastAsia="Times New Roman" w:hAnsi="Minion Pro" w:cs="Times New Roman"/>
          <w:bCs/>
          <w:iCs/>
          <w:color w:val="222222"/>
          <w:sz w:val="20"/>
          <w:szCs w:val="20"/>
          <w:lang w:val="en"/>
        </w:rPr>
        <w:t xml:space="preserve">This study focuses on the trilogy of </w:t>
      </w:r>
      <w:proofErr w:type="spellStart"/>
      <w:r w:rsidRPr="00C613CC">
        <w:rPr>
          <w:rFonts w:ascii="Minion Pro" w:eastAsia="Times New Roman" w:hAnsi="Minion Pro" w:cs="Times New Roman"/>
          <w:bCs/>
          <w:i/>
          <w:iCs/>
          <w:color w:val="222222"/>
          <w:sz w:val="20"/>
          <w:szCs w:val="20"/>
          <w:lang w:val="en"/>
        </w:rPr>
        <w:t>istinbāth</w:t>
      </w:r>
      <w:proofErr w:type="spellEnd"/>
      <w:r w:rsidRPr="00C613CC">
        <w:rPr>
          <w:rFonts w:ascii="Minion Pro" w:eastAsia="Times New Roman" w:hAnsi="Minion Pro" w:cs="Times New Roman"/>
          <w:bCs/>
          <w:iCs/>
          <w:color w:val="222222"/>
          <w:sz w:val="20"/>
          <w:szCs w:val="20"/>
          <w:lang w:val="en"/>
        </w:rPr>
        <w:t xml:space="preserve"> methods in </w:t>
      </w:r>
      <w:proofErr w:type="spellStart"/>
      <w:r w:rsidRPr="00C613CC">
        <w:rPr>
          <w:rFonts w:ascii="Minion Pro" w:eastAsia="Times New Roman" w:hAnsi="Minion Pro" w:cs="Times New Roman"/>
          <w:bCs/>
          <w:iCs/>
          <w:color w:val="222222"/>
          <w:sz w:val="20"/>
          <w:szCs w:val="20"/>
          <w:lang w:val="en"/>
        </w:rPr>
        <w:t>Bahtsul</w:t>
      </w:r>
      <w:proofErr w:type="spellEnd"/>
      <w:r w:rsidRPr="00C613CC">
        <w:rPr>
          <w:rFonts w:ascii="Minion Pro" w:eastAsia="Times New Roman" w:hAnsi="Minion Pro" w:cs="Times New Roman"/>
          <w:bCs/>
          <w:iCs/>
          <w:color w:val="222222"/>
          <w:sz w:val="20"/>
          <w:szCs w:val="20"/>
          <w:lang w:val="en"/>
        </w:rPr>
        <w:t xml:space="preserve"> </w:t>
      </w:r>
      <w:proofErr w:type="spellStart"/>
      <w:r w:rsidRPr="00C613CC">
        <w:rPr>
          <w:rFonts w:ascii="Minion Pro" w:eastAsia="Times New Roman" w:hAnsi="Minion Pro" w:cs="Times New Roman"/>
          <w:bCs/>
          <w:iCs/>
          <w:color w:val="222222"/>
          <w:sz w:val="20"/>
          <w:szCs w:val="20"/>
          <w:lang w:val="en"/>
        </w:rPr>
        <w:t>Masail</w:t>
      </w:r>
      <w:proofErr w:type="spellEnd"/>
      <w:r w:rsidRPr="00C613CC">
        <w:rPr>
          <w:rFonts w:ascii="Minion Pro" w:eastAsia="Times New Roman" w:hAnsi="Minion Pro" w:cs="Times New Roman"/>
          <w:bCs/>
          <w:iCs/>
          <w:color w:val="222222"/>
          <w:sz w:val="20"/>
          <w:szCs w:val="20"/>
          <w:lang w:val="en"/>
        </w:rPr>
        <w:t xml:space="preserve"> NU, namely the </w:t>
      </w:r>
      <w:proofErr w:type="spellStart"/>
      <w:r w:rsidRPr="00C613CC">
        <w:rPr>
          <w:rFonts w:ascii="Minion Pro" w:eastAsia="Times New Roman" w:hAnsi="Minion Pro" w:cs="Times New Roman"/>
          <w:bCs/>
          <w:i/>
          <w:iCs/>
          <w:color w:val="222222"/>
          <w:sz w:val="20"/>
          <w:szCs w:val="20"/>
          <w:lang w:val="en"/>
        </w:rPr>
        <w:t>qaulī</w:t>
      </w:r>
      <w:proofErr w:type="spellEnd"/>
      <w:r w:rsidRPr="00C613CC">
        <w:rPr>
          <w:rFonts w:ascii="Minion Pro" w:eastAsia="Times New Roman" w:hAnsi="Minion Pro" w:cs="Times New Roman"/>
          <w:bCs/>
          <w:iCs/>
          <w:color w:val="222222"/>
          <w:sz w:val="20"/>
          <w:szCs w:val="20"/>
          <w:lang w:val="en"/>
        </w:rPr>
        <w:t xml:space="preserve"> method, the </w:t>
      </w:r>
      <w:proofErr w:type="spellStart"/>
      <w:r w:rsidRPr="00C613CC">
        <w:rPr>
          <w:rFonts w:ascii="Minion Pro" w:eastAsia="Times New Roman" w:hAnsi="Minion Pro" w:cs="Times New Roman"/>
          <w:bCs/>
          <w:i/>
          <w:iCs/>
          <w:color w:val="222222"/>
          <w:sz w:val="20"/>
          <w:szCs w:val="20"/>
          <w:lang w:val="en"/>
        </w:rPr>
        <w:t>ilhāqī</w:t>
      </w:r>
      <w:proofErr w:type="spellEnd"/>
      <w:r w:rsidRPr="00C613CC">
        <w:rPr>
          <w:rFonts w:ascii="Minion Pro" w:eastAsia="Times New Roman" w:hAnsi="Minion Pro" w:cs="Times New Roman"/>
          <w:bCs/>
          <w:iCs/>
          <w:color w:val="222222"/>
          <w:sz w:val="20"/>
          <w:szCs w:val="20"/>
          <w:lang w:val="en"/>
        </w:rPr>
        <w:t xml:space="preserve"> method, and the </w:t>
      </w:r>
      <w:proofErr w:type="spellStart"/>
      <w:r w:rsidRPr="00C613CC">
        <w:rPr>
          <w:rFonts w:ascii="Minion Pro" w:eastAsia="Times New Roman" w:hAnsi="Minion Pro" w:cs="Times New Roman"/>
          <w:bCs/>
          <w:i/>
          <w:iCs/>
          <w:color w:val="222222"/>
          <w:sz w:val="20"/>
          <w:szCs w:val="20"/>
          <w:lang w:val="en"/>
        </w:rPr>
        <w:t>manhajī</w:t>
      </w:r>
      <w:proofErr w:type="spellEnd"/>
      <w:r w:rsidRPr="00C613CC">
        <w:rPr>
          <w:rFonts w:ascii="Minion Pro" w:eastAsia="Times New Roman" w:hAnsi="Minion Pro" w:cs="Times New Roman"/>
          <w:bCs/>
          <w:iCs/>
          <w:color w:val="222222"/>
          <w:sz w:val="20"/>
          <w:szCs w:val="20"/>
          <w:lang w:val="en"/>
        </w:rPr>
        <w:t xml:space="preserve"> method. The starting point is the incorrect assumption of several researchers who quantitatively classify the fatwas of </w:t>
      </w:r>
      <w:proofErr w:type="spellStart"/>
      <w:r w:rsidRPr="00C613CC">
        <w:rPr>
          <w:rFonts w:ascii="Minion Pro" w:eastAsia="Times New Roman" w:hAnsi="Minion Pro" w:cs="Times New Roman"/>
          <w:bCs/>
          <w:iCs/>
          <w:color w:val="222222"/>
          <w:sz w:val="20"/>
          <w:szCs w:val="20"/>
          <w:lang w:val="en"/>
        </w:rPr>
        <w:t>Bahtsul</w:t>
      </w:r>
      <w:proofErr w:type="spellEnd"/>
      <w:r w:rsidRPr="00C613CC">
        <w:rPr>
          <w:rFonts w:ascii="Minion Pro" w:eastAsia="Times New Roman" w:hAnsi="Minion Pro" w:cs="Times New Roman"/>
          <w:bCs/>
          <w:iCs/>
          <w:color w:val="222222"/>
          <w:sz w:val="20"/>
          <w:szCs w:val="20"/>
          <w:lang w:val="en"/>
        </w:rPr>
        <w:t xml:space="preserve"> </w:t>
      </w:r>
      <w:proofErr w:type="spellStart"/>
      <w:r w:rsidRPr="00C613CC">
        <w:rPr>
          <w:rFonts w:ascii="Minion Pro" w:eastAsia="Times New Roman" w:hAnsi="Minion Pro" w:cs="Times New Roman"/>
          <w:bCs/>
          <w:iCs/>
          <w:color w:val="222222"/>
          <w:sz w:val="20"/>
          <w:szCs w:val="20"/>
          <w:lang w:val="en"/>
        </w:rPr>
        <w:t>Masail</w:t>
      </w:r>
      <w:proofErr w:type="spellEnd"/>
      <w:r w:rsidRPr="00C613CC">
        <w:rPr>
          <w:rFonts w:ascii="Minion Pro" w:eastAsia="Times New Roman" w:hAnsi="Minion Pro" w:cs="Times New Roman"/>
          <w:bCs/>
          <w:iCs/>
          <w:color w:val="222222"/>
          <w:sz w:val="20"/>
          <w:szCs w:val="20"/>
          <w:lang w:val="en"/>
        </w:rPr>
        <w:t xml:space="preserve"> based on the method</w:t>
      </w:r>
      <w:r w:rsidRPr="00C613CC">
        <w:rPr>
          <w:rFonts w:ascii="Minion Pro" w:eastAsia="Times New Roman" w:hAnsi="Minion Pro" w:cs="Times New Roman"/>
          <w:bCs/>
          <w:iCs/>
          <w:color w:val="222222"/>
          <w:sz w:val="20"/>
          <w:szCs w:val="20"/>
        </w:rPr>
        <w:t>s</w:t>
      </w:r>
      <w:r w:rsidRPr="00C613CC">
        <w:rPr>
          <w:rFonts w:ascii="Minion Pro" w:eastAsia="Times New Roman" w:hAnsi="Minion Pro" w:cs="Times New Roman"/>
          <w:bCs/>
          <w:iCs/>
          <w:color w:val="222222"/>
          <w:sz w:val="20"/>
          <w:szCs w:val="20"/>
          <w:lang w:val="en"/>
        </w:rPr>
        <w:t xml:space="preserve"> used. Using content analysis methods and synchronic-diachronic approaches, this study concludes that the trilogy of </w:t>
      </w:r>
      <w:proofErr w:type="spellStart"/>
      <w:r w:rsidRPr="00C613CC">
        <w:rPr>
          <w:rFonts w:ascii="Minion Pro" w:eastAsia="Times New Roman" w:hAnsi="Minion Pro" w:cs="Times New Roman"/>
          <w:bCs/>
          <w:i/>
          <w:iCs/>
          <w:color w:val="222222"/>
          <w:sz w:val="20"/>
          <w:szCs w:val="20"/>
          <w:lang w:val="en"/>
        </w:rPr>
        <w:t>istinbāth</w:t>
      </w:r>
      <w:proofErr w:type="spellEnd"/>
      <w:r w:rsidRPr="00C613CC">
        <w:rPr>
          <w:rFonts w:ascii="Minion Pro" w:eastAsia="Times New Roman" w:hAnsi="Minion Pro" w:cs="Times New Roman"/>
          <w:bCs/>
          <w:iCs/>
          <w:color w:val="222222"/>
          <w:sz w:val="20"/>
          <w:szCs w:val="20"/>
          <w:lang w:val="en"/>
        </w:rPr>
        <w:t xml:space="preserve"> methods is not a new formulation, but rather is referred to as the institutionalization of thinking tradition of NU </w:t>
      </w:r>
      <w:proofErr w:type="spellStart"/>
      <w:r w:rsidRPr="00C613CC">
        <w:rPr>
          <w:rFonts w:ascii="Minion Pro" w:eastAsia="Times New Roman" w:hAnsi="Minion Pro" w:cs="Times New Roman"/>
          <w:bCs/>
          <w:iCs/>
          <w:color w:val="222222"/>
          <w:sz w:val="20"/>
          <w:szCs w:val="20"/>
          <w:lang w:val="en"/>
        </w:rPr>
        <w:t>kiai</w:t>
      </w:r>
      <w:proofErr w:type="spellEnd"/>
      <w:r w:rsidRPr="00C613CC">
        <w:rPr>
          <w:rFonts w:ascii="Minion Pro" w:eastAsia="Times New Roman" w:hAnsi="Minion Pro" w:cs="Times New Roman"/>
          <w:bCs/>
          <w:iCs/>
          <w:color w:val="222222"/>
          <w:sz w:val="20"/>
          <w:szCs w:val="20"/>
        </w:rPr>
        <w:t>s</w:t>
      </w:r>
      <w:r w:rsidRPr="00C613CC">
        <w:rPr>
          <w:rFonts w:ascii="Minion Pro" w:eastAsia="Times New Roman" w:hAnsi="Minion Pro" w:cs="Times New Roman"/>
          <w:bCs/>
          <w:iCs/>
          <w:color w:val="222222"/>
          <w:sz w:val="20"/>
          <w:szCs w:val="20"/>
          <w:lang w:val="en"/>
        </w:rPr>
        <w:t xml:space="preserve"> that was formed for a long time. In addition, the trilogy of </w:t>
      </w:r>
      <w:proofErr w:type="spellStart"/>
      <w:r w:rsidRPr="00C613CC">
        <w:rPr>
          <w:rFonts w:ascii="Minion Pro" w:eastAsia="Times New Roman" w:hAnsi="Minion Pro" w:cs="Times New Roman"/>
          <w:bCs/>
          <w:i/>
          <w:iCs/>
          <w:color w:val="222222"/>
          <w:sz w:val="20"/>
          <w:szCs w:val="20"/>
          <w:lang w:val="en"/>
        </w:rPr>
        <w:t>intinbāth</w:t>
      </w:r>
      <w:proofErr w:type="spellEnd"/>
      <w:r w:rsidRPr="00C613CC">
        <w:rPr>
          <w:rFonts w:ascii="Minion Pro" w:eastAsia="Times New Roman" w:hAnsi="Minion Pro" w:cs="Times New Roman"/>
          <w:bCs/>
          <w:iCs/>
          <w:color w:val="222222"/>
          <w:sz w:val="20"/>
          <w:szCs w:val="20"/>
          <w:lang w:val="en"/>
        </w:rPr>
        <w:t xml:space="preserve"> methods has a dynamic relationship and often overlaps with each other in </w:t>
      </w:r>
      <w:proofErr w:type="spellStart"/>
      <w:r w:rsidRPr="00C613CC">
        <w:rPr>
          <w:rFonts w:ascii="Minion Pro" w:eastAsia="Times New Roman" w:hAnsi="Minion Pro" w:cs="Times New Roman"/>
          <w:bCs/>
          <w:iCs/>
          <w:color w:val="222222"/>
          <w:sz w:val="20"/>
          <w:szCs w:val="20"/>
          <w:lang w:val="en"/>
        </w:rPr>
        <w:t>Bahtsul</w:t>
      </w:r>
      <w:proofErr w:type="spellEnd"/>
      <w:r w:rsidRPr="00C613CC">
        <w:rPr>
          <w:rFonts w:ascii="Minion Pro" w:eastAsia="Times New Roman" w:hAnsi="Minion Pro" w:cs="Times New Roman"/>
          <w:bCs/>
          <w:iCs/>
          <w:color w:val="222222"/>
          <w:sz w:val="20"/>
          <w:szCs w:val="20"/>
          <w:lang w:val="en"/>
        </w:rPr>
        <w:t xml:space="preserve"> </w:t>
      </w:r>
      <w:proofErr w:type="spellStart"/>
      <w:r w:rsidRPr="00C613CC">
        <w:rPr>
          <w:rFonts w:ascii="Minion Pro" w:eastAsia="Times New Roman" w:hAnsi="Minion Pro" w:cs="Times New Roman"/>
          <w:bCs/>
          <w:iCs/>
          <w:color w:val="222222"/>
          <w:sz w:val="20"/>
          <w:szCs w:val="20"/>
          <w:lang w:val="en"/>
        </w:rPr>
        <w:t>Masail</w:t>
      </w:r>
      <w:proofErr w:type="spellEnd"/>
      <w:r w:rsidRPr="00C613CC">
        <w:rPr>
          <w:rFonts w:ascii="Minion Pro" w:eastAsia="Times New Roman" w:hAnsi="Minion Pro" w:cs="Times New Roman"/>
          <w:bCs/>
          <w:iCs/>
          <w:color w:val="222222"/>
          <w:sz w:val="20"/>
          <w:szCs w:val="20"/>
          <w:lang w:val="en"/>
        </w:rPr>
        <w:t>.</w:t>
      </w:r>
    </w:p>
    <w:p w14:paraId="4642A711" w14:textId="3C49A77A" w:rsidR="00F465B5" w:rsidRPr="00155747" w:rsidRDefault="00F465B5" w:rsidP="00C613CC">
      <w:pPr>
        <w:spacing w:line="240" w:lineRule="auto"/>
        <w:jc w:val="both"/>
        <w:rPr>
          <w:rFonts w:ascii="Minion Pro" w:eastAsia="Times New Roman" w:hAnsi="Minion Pro" w:cstheme="majorBidi"/>
          <w:b/>
          <w:iCs/>
          <w:color w:val="222222"/>
          <w:sz w:val="20"/>
          <w:szCs w:val="20"/>
          <w:lang w:val="en-US"/>
        </w:rPr>
      </w:pPr>
      <w:r w:rsidRPr="00E0463A">
        <w:rPr>
          <w:rFonts w:ascii="Minion Pro" w:eastAsia="Times New Roman" w:hAnsi="Minion Pro" w:cstheme="majorBidi"/>
          <w:i/>
          <w:iCs/>
          <w:color w:val="222222"/>
          <w:sz w:val="20"/>
          <w:szCs w:val="20"/>
          <w:lang w:val="en-US"/>
        </w:rPr>
        <w:t>Keywords:</w:t>
      </w:r>
      <w:r w:rsidRPr="00E0463A">
        <w:rPr>
          <w:rFonts w:ascii="Minion Pro" w:eastAsia="Times New Roman" w:hAnsi="Minion Pro" w:cstheme="majorBidi"/>
          <w:color w:val="222222"/>
          <w:sz w:val="20"/>
          <w:szCs w:val="20"/>
          <w:lang w:val="en-US"/>
        </w:rPr>
        <w:t xml:space="preserve"> </w:t>
      </w:r>
      <w:r w:rsidR="00C613CC" w:rsidRPr="00C613CC">
        <w:rPr>
          <w:rFonts w:ascii="Minion Pro" w:eastAsia="Times New Roman" w:hAnsi="Minion Pro" w:cstheme="majorBidi"/>
          <w:i/>
          <w:iCs/>
          <w:color w:val="222222"/>
          <w:sz w:val="20"/>
          <w:szCs w:val="20"/>
          <w:lang w:val="en"/>
        </w:rPr>
        <w:t xml:space="preserve">Dynamic Relations, Trilogy </w:t>
      </w:r>
      <w:proofErr w:type="spellStart"/>
      <w:r w:rsidR="00C613CC" w:rsidRPr="00C613CC">
        <w:rPr>
          <w:rFonts w:ascii="Minion Pro" w:eastAsia="Times New Roman" w:hAnsi="Minion Pro" w:cstheme="majorBidi"/>
          <w:i/>
          <w:iCs/>
          <w:color w:val="222222"/>
          <w:sz w:val="20"/>
          <w:szCs w:val="20"/>
          <w:lang w:val="en"/>
        </w:rPr>
        <w:t>Istinbāth</w:t>
      </w:r>
      <w:proofErr w:type="spellEnd"/>
      <w:r w:rsidR="00C613CC" w:rsidRPr="00C613CC">
        <w:rPr>
          <w:rFonts w:ascii="Minion Pro" w:eastAsia="Times New Roman" w:hAnsi="Minion Pro" w:cstheme="majorBidi"/>
          <w:i/>
          <w:iCs/>
          <w:color w:val="222222"/>
          <w:sz w:val="20"/>
          <w:szCs w:val="20"/>
          <w:lang w:val="en"/>
        </w:rPr>
        <w:t xml:space="preserve"> Method, </w:t>
      </w:r>
      <w:proofErr w:type="spellStart"/>
      <w:r w:rsidR="00C613CC" w:rsidRPr="00C613CC">
        <w:rPr>
          <w:rFonts w:ascii="Minion Pro" w:eastAsia="Times New Roman" w:hAnsi="Minion Pro" w:cstheme="majorBidi"/>
          <w:i/>
          <w:iCs/>
          <w:color w:val="222222"/>
          <w:sz w:val="20"/>
          <w:szCs w:val="20"/>
          <w:lang w:val="en"/>
        </w:rPr>
        <w:t>Bahtsul</w:t>
      </w:r>
      <w:proofErr w:type="spellEnd"/>
      <w:r w:rsidR="00C613CC" w:rsidRPr="00C613CC">
        <w:rPr>
          <w:rFonts w:ascii="Minion Pro" w:eastAsia="Times New Roman" w:hAnsi="Minion Pro" w:cstheme="majorBidi"/>
          <w:i/>
          <w:iCs/>
          <w:color w:val="222222"/>
          <w:sz w:val="20"/>
          <w:szCs w:val="20"/>
          <w:lang w:val="en"/>
        </w:rPr>
        <w:t xml:space="preserve"> </w:t>
      </w:r>
      <w:proofErr w:type="spellStart"/>
      <w:r w:rsidR="00C613CC" w:rsidRPr="00C613CC">
        <w:rPr>
          <w:rFonts w:ascii="Minion Pro" w:eastAsia="Times New Roman" w:hAnsi="Minion Pro" w:cstheme="majorBidi"/>
          <w:i/>
          <w:iCs/>
          <w:color w:val="222222"/>
          <w:sz w:val="20"/>
          <w:szCs w:val="20"/>
          <w:lang w:val="en"/>
        </w:rPr>
        <w:t>Masail</w:t>
      </w:r>
      <w:proofErr w:type="spellEnd"/>
    </w:p>
    <w:p w14:paraId="061010CB" w14:textId="77777777" w:rsidR="00333210" w:rsidRPr="00F4748B" w:rsidRDefault="00333210" w:rsidP="00DB74CB">
      <w:pPr>
        <w:spacing w:line="240" w:lineRule="auto"/>
        <w:jc w:val="both"/>
        <w:rPr>
          <w:rFonts w:ascii="Times New Roman" w:hAnsi="Times New Roman" w:cs="Times New Roman"/>
          <w:b/>
          <w:sz w:val="24"/>
          <w:szCs w:val="24"/>
        </w:rPr>
      </w:pPr>
      <w:r w:rsidRPr="00F4748B">
        <w:rPr>
          <w:rFonts w:ascii="Times New Roman" w:hAnsi="Times New Roman" w:cs="Times New Roman"/>
          <w:b/>
          <w:sz w:val="24"/>
          <w:szCs w:val="24"/>
        </w:rPr>
        <w:t>_________________________________________________________________</w:t>
      </w:r>
    </w:p>
    <w:p w14:paraId="04D08CB4" w14:textId="77777777" w:rsidR="007C2769" w:rsidRPr="007C2769" w:rsidRDefault="007C2769" w:rsidP="007C2769">
      <w:pPr>
        <w:pStyle w:val="ListParagraph"/>
        <w:shd w:val="clear" w:color="auto" w:fill="FFFFFF"/>
        <w:spacing w:line="240" w:lineRule="auto"/>
        <w:ind w:left="426"/>
        <w:contextualSpacing w:val="0"/>
        <w:rPr>
          <w:rFonts w:ascii="Minion Pro" w:hAnsi="Minion Pro" w:cs="Times New Roman"/>
          <w:b/>
          <w:sz w:val="24"/>
          <w:szCs w:val="24"/>
        </w:rPr>
      </w:pPr>
    </w:p>
    <w:p w14:paraId="3160F884" w14:textId="4A178EDD" w:rsidR="000743BF" w:rsidRPr="00F4748B" w:rsidRDefault="00275EDF" w:rsidP="00DB74CB">
      <w:pPr>
        <w:pStyle w:val="ListParagraph"/>
        <w:numPr>
          <w:ilvl w:val="0"/>
          <w:numId w:val="1"/>
        </w:numPr>
        <w:shd w:val="clear" w:color="auto" w:fill="FFFFFF"/>
        <w:spacing w:line="240" w:lineRule="auto"/>
        <w:ind w:left="426" w:hanging="426"/>
        <w:contextualSpacing w:val="0"/>
        <w:rPr>
          <w:rFonts w:ascii="Minion Pro" w:hAnsi="Minion Pro" w:cs="Times New Roman"/>
          <w:b/>
          <w:sz w:val="24"/>
          <w:szCs w:val="24"/>
        </w:rPr>
      </w:pPr>
      <w:r w:rsidRPr="00F4748B">
        <w:rPr>
          <w:rFonts w:ascii="Minion Pro" w:hAnsi="Minion Pro" w:cs="Times New Roman"/>
          <w:b/>
          <w:sz w:val="24"/>
          <w:szCs w:val="24"/>
        </w:rPr>
        <w:t>PENDAHULUAN</w:t>
      </w:r>
    </w:p>
    <w:p w14:paraId="357EA22B" w14:textId="77777777" w:rsidR="00C613CC" w:rsidRDefault="00C613CC" w:rsidP="00C613CC">
      <w:pPr>
        <w:spacing w:line="240" w:lineRule="auto"/>
        <w:jc w:val="both"/>
        <w:rPr>
          <w:rFonts w:ascii="Minion Pro" w:hAnsi="Minion Pro" w:cs="Times New Roman"/>
          <w:sz w:val="24"/>
          <w:szCs w:val="24"/>
          <w:lang w:val="en-US"/>
        </w:rPr>
      </w:pPr>
      <w:proofErr w:type="spellStart"/>
      <w:r w:rsidRPr="00C613CC">
        <w:rPr>
          <w:rFonts w:ascii="Minion Pro" w:hAnsi="Minion Pro" w:cs="Times New Roman"/>
          <w:sz w:val="24"/>
          <w:szCs w:val="24"/>
          <w:lang w:val="en-US"/>
        </w:rPr>
        <w:t>Munas</w:t>
      </w:r>
      <w:proofErr w:type="spellEnd"/>
      <w:r w:rsidRPr="00C613CC">
        <w:rPr>
          <w:rFonts w:ascii="Minion Pro" w:hAnsi="Minion Pro" w:cs="Times New Roman"/>
          <w:sz w:val="24"/>
          <w:szCs w:val="24"/>
          <w:lang w:val="en-US"/>
        </w:rPr>
        <w:t xml:space="preserve"> Alim-Ulama </w:t>
      </w:r>
      <w:proofErr w:type="spellStart"/>
      <w:r w:rsidRPr="00C613CC">
        <w:rPr>
          <w:rFonts w:ascii="Minion Pro" w:hAnsi="Minion Pro" w:cs="Times New Roman"/>
          <w:sz w:val="24"/>
          <w:szCs w:val="24"/>
          <w:lang w:val="en-US"/>
        </w:rPr>
        <w:t>Nahdlatul</w:t>
      </w:r>
      <w:proofErr w:type="spellEnd"/>
      <w:r w:rsidRPr="00C613CC">
        <w:rPr>
          <w:rFonts w:ascii="Minion Pro" w:hAnsi="Minion Pro" w:cs="Times New Roman"/>
          <w:sz w:val="24"/>
          <w:szCs w:val="24"/>
          <w:lang w:val="en-US"/>
        </w:rPr>
        <w:t xml:space="preserve"> Ulama (</w:t>
      </w:r>
      <w:proofErr w:type="spellStart"/>
      <w:r w:rsidRPr="00C613CC">
        <w:rPr>
          <w:rFonts w:ascii="Minion Pro" w:hAnsi="Minion Pro" w:cs="Times New Roman"/>
          <w:sz w:val="24"/>
          <w:szCs w:val="24"/>
          <w:lang w:val="en-US"/>
        </w:rPr>
        <w:t>Munas</w:t>
      </w:r>
      <w:proofErr w:type="spellEnd"/>
      <w:r w:rsidRPr="00C613CC">
        <w:rPr>
          <w:rFonts w:ascii="Minion Pro" w:hAnsi="Minion Pro" w:cs="Times New Roman"/>
          <w:sz w:val="24"/>
          <w:szCs w:val="24"/>
          <w:lang w:val="en-US"/>
        </w:rPr>
        <w:t xml:space="preserve"> NU) </w:t>
      </w:r>
      <w:proofErr w:type="spellStart"/>
      <w:r w:rsidRPr="00C613CC">
        <w:rPr>
          <w:rFonts w:ascii="Minion Pro" w:hAnsi="Minion Pro" w:cs="Times New Roman"/>
          <w:sz w:val="24"/>
          <w:szCs w:val="24"/>
          <w:lang w:val="en-US"/>
        </w:rPr>
        <w:t>tahun</w:t>
      </w:r>
      <w:proofErr w:type="spellEnd"/>
      <w:r w:rsidRPr="00C613CC">
        <w:rPr>
          <w:rFonts w:ascii="Minion Pro" w:hAnsi="Minion Pro" w:cs="Times New Roman"/>
          <w:sz w:val="24"/>
          <w:szCs w:val="24"/>
          <w:lang w:val="en-US"/>
        </w:rPr>
        <w:t xml:space="preserve"> 1992 </w:t>
      </w:r>
      <w:proofErr w:type="spellStart"/>
      <w:r w:rsidRPr="00C613CC">
        <w:rPr>
          <w:rFonts w:ascii="Minion Pro" w:hAnsi="Minion Pro" w:cs="Times New Roman"/>
          <w:sz w:val="24"/>
          <w:szCs w:val="24"/>
          <w:lang w:val="en-US"/>
        </w:rPr>
        <w:t>menjadi</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babakan</w:t>
      </w:r>
      <w:proofErr w:type="spellEnd"/>
      <w:r w:rsidRPr="00C613CC">
        <w:rPr>
          <w:rFonts w:ascii="Minion Pro" w:hAnsi="Minion Pro" w:cs="Times New Roman"/>
          <w:sz w:val="24"/>
          <w:szCs w:val="24"/>
          <w:lang w:val="en-US"/>
        </w:rPr>
        <w:t xml:space="preserve"> formal yang </w:t>
      </w:r>
      <w:proofErr w:type="spellStart"/>
      <w:r w:rsidRPr="00C613CC">
        <w:rPr>
          <w:rFonts w:ascii="Minion Pro" w:hAnsi="Minion Pro" w:cs="Times New Roman"/>
          <w:sz w:val="24"/>
          <w:szCs w:val="24"/>
          <w:lang w:val="en-US"/>
        </w:rPr>
        <w:t>penting</w:t>
      </w:r>
      <w:proofErr w:type="spellEnd"/>
      <w:r w:rsidRPr="00C613CC">
        <w:rPr>
          <w:rFonts w:ascii="Minion Pro" w:hAnsi="Minion Pro" w:cs="Times New Roman"/>
          <w:sz w:val="24"/>
          <w:szCs w:val="24"/>
          <w:lang w:val="en-US"/>
        </w:rPr>
        <w:t xml:space="preserve">. Acara </w:t>
      </w:r>
      <w:proofErr w:type="spellStart"/>
      <w:r w:rsidRPr="00C613CC">
        <w:rPr>
          <w:rFonts w:ascii="Minion Pro" w:hAnsi="Minion Pro" w:cs="Times New Roman"/>
          <w:sz w:val="24"/>
          <w:szCs w:val="24"/>
          <w:lang w:val="en-US"/>
        </w:rPr>
        <w:t>tersebut</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mengakumulasi</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secara</w:t>
      </w:r>
      <w:proofErr w:type="spellEnd"/>
      <w:r w:rsidRPr="00C613CC">
        <w:rPr>
          <w:rFonts w:ascii="Minion Pro" w:hAnsi="Minion Pro" w:cs="Times New Roman"/>
          <w:sz w:val="24"/>
          <w:szCs w:val="24"/>
          <w:lang w:val="en-US"/>
        </w:rPr>
        <w:t xml:space="preserve"> formal </w:t>
      </w:r>
      <w:proofErr w:type="spellStart"/>
      <w:r w:rsidRPr="00C613CC">
        <w:rPr>
          <w:rFonts w:ascii="Minion Pro" w:hAnsi="Minion Pro" w:cs="Times New Roman"/>
          <w:sz w:val="24"/>
          <w:szCs w:val="24"/>
          <w:lang w:val="en-US"/>
        </w:rPr>
        <w:t>pergulatan</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pemikiran</w:t>
      </w:r>
      <w:proofErr w:type="spellEnd"/>
      <w:r w:rsidRPr="00C613CC">
        <w:rPr>
          <w:rFonts w:ascii="Minion Pro" w:hAnsi="Minion Pro" w:cs="Times New Roman"/>
          <w:sz w:val="24"/>
          <w:szCs w:val="24"/>
          <w:lang w:val="en-US"/>
        </w:rPr>
        <w:t xml:space="preserve"> di </w:t>
      </w:r>
      <w:proofErr w:type="spellStart"/>
      <w:r w:rsidRPr="00C613CC">
        <w:rPr>
          <w:rFonts w:ascii="Minion Pro" w:hAnsi="Minion Pro" w:cs="Times New Roman"/>
          <w:sz w:val="24"/>
          <w:szCs w:val="24"/>
          <w:lang w:val="en-US"/>
        </w:rPr>
        <w:t>kalangan</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kiai-kiai</w:t>
      </w:r>
      <w:proofErr w:type="spellEnd"/>
      <w:r w:rsidRPr="00C613CC">
        <w:rPr>
          <w:rFonts w:ascii="Minion Pro" w:hAnsi="Minion Pro" w:cs="Times New Roman"/>
          <w:sz w:val="24"/>
          <w:szCs w:val="24"/>
          <w:lang w:val="en-US"/>
        </w:rPr>
        <w:t xml:space="preserve"> NU </w:t>
      </w:r>
      <w:proofErr w:type="spellStart"/>
      <w:r w:rsidRPr="00C613CC">
        <w:rPr>
          <w:rFonts w:ascii="Minion Pro" w:hAnsi="Minion Pro" w:cs="Times New Roman"/>
          <w:sz w:val="24"/>
          <w:szCs w:val="24"/>
          <w:lang w:val="en-US"/>
        </w:rPr>
        <w:t>sejak</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dua</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dekade</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sebelumnya</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Pergulatan</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pemikiran</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tersebut</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berlangsung</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secara</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dinamis</w:t>
      </w:r>
      <w:proofErr w:type="spellEnd"/>
      <w:r w:rsidRPr="00C613CC">
        <w:rPr>
          <w:rFonts w:ascii="Minion Pro" w:hAnsi="Minion Pro" w:cs="Times New Roman"/>
          <w:sz w:val="24"/>
          <w:szCs w:val="24"/>
          <w:lang w:val="en-US"/>
        </w:rPr>
        <w:t xml:space="preserve"> pada </w:t>
      </w:r>
      <w:proofErr w:type="spellStart"/>
      <w:r w:rsidRPr="00C613CC">
        <w:rPr>
          <w:rFonts w:ascii="Minion Pro" w:hAnsi="Minion Pro" w:cs="Times New Roman"/>
          <w:sz w:val="24"/>
          <w:szCs w:val="24"/>
          <w:lang w:val="en-US"/>
        </w:rPr>
        <w:t>akhir</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dekade</w:t>
      </w:r>
      <w:proofErr w:type="spellEnd"/>
      <w:r w:rsidRPr="00C613CC">
        <w:rPr>
          <w:rFonts w:ascii="Minion Pro" w:hAnsi="Minion Pro" w:cs="Times New Roman"/>
          <w:sz w:val="24"/>
          <w:szCs w:val="24"/>
          <w:lang w:val="en-US"/>
        </w:rPr>
        <w:t xml:space="preserve"> 1980-an, </w:t>
      </w:r>
      <w:proofErr w:type="spellStart"/>
      <w:r w:rsidRPr="00C613CC">
        <w:rPr>
          <w:rFonts w:ascii="Minion Pro" w:hAnsi="Minion Pro" w:cs="Times New Roman"/>
          <w:sz w:val="24"/>
          <w:szCs w:val="24"/>
          <w:lang w:val="en-US"/>
        </w:rPr>
        <w:t>dimotori</w:t>
      </w:r>
      <w:proofErr w:type="spellEnd"/>
      <w:r w:rsidRPr="00C613CC">
        <w:rPr>
          <w:rFonts w:ascii="Minion Pro" w:hAnsi="Minion Pro" w:cs="Times New Roman"/>
          <w:sz w:val="24"/>
          <w:szCs w:val="24"/>
          <w:lang w:val="en-US"/>
        </w:rPr>
        <w:t xml:space="preserve"> oleh </w:t>
      </w:r>
      <w:proofErr w:type="spellStart"/>
      <w:r w:rsidRPr="00C613CC">
        <w:rPr>
          <w:rFonts w:ascii="Minion Pro" w:hAnsi="Minion Pro" w:cs="Times New Roman"/>
          <w:sz w:val="24"/>
          <w:szCs w:val="24"/>
          <w:lang w:val="en-US"/>
        </w:rPr>
        <w:t>sejumlah</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kiai-kiai</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pembaru</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semisal</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Kiai</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Achmad</w:t>
      </w:r>
      <w:proofErr w:type="spellEnd"/>
      <w:r w:rsidRPr="00C613CC">
        <w:rPr>
          <w:rFonts w:ascii="Minion Pro" w:hAnsi="Minion Pro" w:cs="Times New Roman"/>
          <w:sz w:val="24"/>
          <w:szCs w:val="24"/>
          <w:lang w:val="en-US"/>
        </w:rPr>
        <w:t xml:space="preserve"> Siddiq (w. 1991), </w:t>
      </w:r>
      <w:proofErr w:type="spellStart"/>
      <w:r w:rsidRPr="00C613CC">
        <w:rPr>
          <w:rFonts w:ascii="Minion Pro" w:hAnsi="Minion Pro" w:cs="Times New Roman"/>
          <w:sz w:val="24"/>
          <w:szCs w:val="24"/>
          <w:lang w:val="en-US"/>
        </w:rPr>
        <w:t>Kiai</w:t>
      </w:r>
      <w:proofErr w:type="spellEnd"/>
      <w:r w:rsidRPr="00C613CC">
        <w:rPr>
          <w:rFonts w:ascii="Minion Pro" w:hAnsi="Minion Pro" w:cs="Times New Roman"/>
          <w:sz w:val="24"/>
          <w:szCs w:val="24"/>
          <w:lang w:val="en-US"/>
        </w:rPr>
        <w:t xml:space="preserve"> </w:t>
      </w:r>
      <w:r w:rsidRPr="00C613CC">
        <w:rPr>
          <w:rFonts w:ascii="Minion Pro" w:hAnsi="Minion Pro" w:cs="Times New Roman"/>
          <w:sz w:val="24"/>
          <w:szCs w:val="24"/>
          <w:lang w:val="en-US"/>
        </w:rPr>
        <w:lastRenderedPageBreak/>
        <w:t xml:space="preserve">Abdurrahman Wahid </w:t>
      </w:r>
      <w:proofErr w:type="spellStart"/>
      <w:r w:rsidRPr="00C613CC">
        <w:rPr>
          <w:rFonts w:ascii="Minion Pro" w:hAnsi="Minion Pro" w:cs="Times New Roman"/>
          <w:sz w:val="24"/>
          <w:szCs w:val="24"/>
          <w:lang w:val="en-US"/>
        </w:rPr>
        <w:t>atau</w:t>
      </w:r>
      <w:proofErr w:type="spellEnd"/>
      <w:r w:rsidRPr="00C613CC">
        <w:rPr>
          <w:rFonts w:ascii="Minion Pro" w:hAnsi="Minion Pro" w:cs="Times New Roman"/>
          <w:sz w:val="24"/>
          <w:szCs w:val="24"/>
          <w:lang w:val="en-US"/>
        </w:rPr>
        <w:t xml:space="preserve"> Gus Dur (w. 2010), </w:t>
      </w:r>
      <w:proofErr w:type="spellStart"/>
      <w:r w:rsidRPr="00C613CC">
        <w:rPr>
          <w:rFonts w:ascii="Minion Pro" w:hAnsi="Minion Pro" w:cs="Times New Roman"/>
          <w:sz w:val="24"/>
          <w:szCs w:val="24"/>
          <w:lang w:val="en-US"/>
        </w:rPr>
        <w:t>Kiai</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Muchit</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Muzadi</w:t>
      </w:r>
      <w:proofErr w:type="spellEnd"/>
      <w:r w:rsidRPr="00C613CC">
        <w:rPr>
          <w:rFonts w:ascii="Minion Pro" w:hAnsi="Minion Pro" w:cs="Times New Roman"/>
          <w:sz w:val="24"/>
          <w:szCs w:val="24"/>
          <w:lang w:val="en-US"/>
        </w:rPr>
        <w:t xml:space="preserve"> (w. 2015), </w:t>
      </w:r>
      <w:proofErr w:type="spellStart"/>
      <w:r w:rsidRPr="00C613CC">
        <w:rPr>
          <w:rFonts w:ascii="Minion Pro" w:hAnsi="Minion Pro" w:cs="Times New Roman"/>
          <w:sz w:val="24"/>
          <w:szCs w:val="24"/>
          <w:lang w:val="en-US"/>
        </w:rPr>
        <w:t>Kiai</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Sahal</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Mahfudh</w:t>
      </w:r>
      <w:proofErr w:type="spellEnd"/>
      <w:r w:rsidRPr="00C613CC">
        <w:rPr>
          <w:rFonts w:ascii="Minion Pro" w:hAnsi="Minion Pro" w:cs="Times New Roman"/>
          <w:sz w:val="24"/>
          <w:szCs w:val="24"/>
          <w:lang w:val="en-US"/>
        </w:rPr>
        <w:t xml:space="preserve"> (w. 2014), </w:t>
      </w:r>
      <w:proofErr w:type="spellStart"/>
      <w:r w:rsidRPr="00C613CC">
        <w:rPr>
          <w:rFonts w:ascii="Minion Pro" w:hAnsi="Minion Pro" w:cs="Times New Roman"/>
          <w:sz w:val="24"/>
          <w:szCs w:val="24"/>
          <w:lang w:val="en-US"/>
        </w:rPr>
        <w:t>Kiai</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Qodri</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Aziziy</w:t>
      </w:r>
      <w:proofErr w:type="spellEnd"/>
      <w:r w:rsidRPr="00C613CC">
        <w:rPr>
          <w:rFonts w:ascii="Minion Pro" w:hAnsi="Minion Pro" w:cs="Times New Roman"/>
          <w:sz w:val="24"/>
          <w:szCs w:val="24"/>
          <w:lang w:val="en-US"/>
        </w:rPr>
        <w:t xml:space="preserve"> (w. 2008), dan </w:t>
      </w:r>
      <w:proofErr w:type="spellStart"/>
      <w:r w:rsidRPr="00C613CC">
        <w:rPr>
          <w:rFonts w:ascii="Minion Pro" w:hAnsi="Minion Pro" w:cs="Times New Roman"/>
          <w:sz w:val="24"/>
          <w:szCs w:val="24"/>
          <w:lang w:val="en-US"/>
        </w:rPr>
        <w:t>Kiai</w:t>
      </w:r>
      <w:proofErr w:type="spellEnd"/>
      <w:r w:rsidRPr="00C613CC">
        <w:rPr>
          <w:rFonts w:ascii="Minion Pro" w:hAnsi="Minion Pro" w:cs="Times New Roman"/>
          <w:sz w:val="24"/>
          <w:szCs w:val="24"/>
          <w:lang w:val="en-US"/>
        </w:rPr>
        <w:t xml:space="preserve"> </w:t>
      </w:r>
      <w:proofErr w:type="spellStart"/>
      <w:proofErr w:type="gramStart"/>
      <w:r w:rsidRPr="00C613CC">
        <w:rPr>
          <w:rFonts w:ascii="Minion Pro" w:hAnsi="Minion Pro" w:cs="Times New Roman"/>
          <w:sz w:val="24"/>
          <w:szCs w:val="24"/>
          <w:lang w:val="en-US"/>
        </w:rPr>
        <w:t>Ma‘</w:t>
      </w:r>
      <w:proofErr w:type="gramEnd"/>
      <w:r w:rsidRPr="00C613CC">
        <w:rPr>
          <w:rFonts w:ascii="Minion Pro" w:hAnsi="Minion Pro" w:cs="Times New Roman"/>
          <w:sz w:val="24"/>
          <w:szCs w:val="24"/>
          <w:lang w:val="en-US"/>
        </w:rPr>
        <w:t>ruf</w:t>
      </w:r>
      <w:proofErr w:type="spellEnd"/>
      <w:r w:rsidRPr="00C613CC">
        <w:rPr>
          <w:rFonts w:ascii="Minion Pro" w:hAnsi="Minion Pro" w:cs="Times New Roman"/>
          <w:sz w:val="24"/>
          <w:szCs w:val="24"/>
          <w:lang w:val="en-US"/>
        </w:rPr>
        <w:t xml:space="preserve"> Amin. </w:t>
      </w:r>
      <w:proofErr w:type="spellStart"/>
      <w:r w:rsidRPr="00C613CC">
        <w:rPr>
          <w:rFonts w:ascii="Minion Pro" w:hAnsi="Minion Pro" w:cs="Times New Roman"/>
          <w:sz w:val="24"/>
          <w:szCs w:val="24"/>
          <w:lang w:val="en-US"/>
        </w:rPr>
        <w:t>Melalui</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serangkaian</w:t>
      </w:r>
      <w:proofErr w:type="spellEnd"/>
      <w:r w:rsidRPr="00C613CC">
        <w:rPr>
          <w:rFonts w:ascii="Minion Pro" w:hAnsi="Minion Pro" w:cs="Times New Roman"/>
          <w:sz w:val="24"/>
          <w:szCs w:val="24"/>
          <w:lang w:val="en-US"/>
        </w:rPr>
        <w:t xml:space="preserve"> forum </w:t>
      </w:r>
      <w:proofErr w:type="spellStart"/>
      <w:r w:rsidRPr="00C613CC">
        <w:rPr>
          <w:rFonts w:ascii="Minion Pro" w:hAnsi="Minion Pro" w:cs="Times New Roman"/>
          <w:sz w:val="24"/>
          <w:szCs w:val="24"/>
          <w:lang w:val="en-US"/>
        </w:rPr>
        <w:t>diskusi</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i/>
          <w:iCs/>
          <w:sz w:val="24"/>
          <w:szCs w:val="24"/>
          <w:lang w:val="en-US"/>
        </w:rPr>
        <w:t>halaqah</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mereka</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berdiskusi</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secara</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intensif</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terutama</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tentang</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kontekstualisasi</w:t>
      </w:r>
      <w:proofErr w:type="spellEnd"/>
      <w:r w:rsidRPr="00C613CC">
        <w:rPr>
          <w:rFonts w:ascii="Minion Pro" w:hAnsi="Minion Pro" w:cs="Times New Roman"/>
          <w:sz w:val="24"/>
          <w:szCs w:val="24"/>
          <w:lang w:val="en-US"/>
        </w:rPr>
        <w:t xml:space="preserve"> kitab </w:t>
      </w:r>
      <w:proofErr w:type="spellStart"/>
      <w:r w:rsidRPr="00C613CC">
        <w:rPr>
          <w:rFonts w:ascii="Minion Pro" w:hAnsi="Minion Pro" w:cs="Times New Roman"/>
          <w:sz w:val="24"/>
          <w:szCs w:val="24"/>
          <w:lang w:val="en-US"/>
        </w:rPr>
        <w:t>kuning</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redefinisi</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bermazhab</w:t>
      </w:r>
      <w:proofErr w:type="spellEnd"/>
      <w:r w:rsidRPr="00C613CC">
        <w:rPr>
          <w:rFonts w:ascii="Minion Pro" w:hAnsi="Minion Pro" w:cs="Times New Roman"/>
          <w:sz w:val="24"/>
          <w:szCs w:val="24"/>
          <w:lang w:val="en-US"/>
        </w:rPr>
        <w:t xml:space="preserve">, dan </w:t>
      </w:r>
      <w:proofErr w:type="spellStart"/>
      <w:r w:rsidRPr="00C613CC">
        <w:rPr>
          <w:rFonts w:ascii="Minion Pro" w:hAnsi="Minion Pro" w:cs="Times New Roman"/>
          <w:sz w:val="24"/>
          <w:szCs w:val="24"/>
          <w:lang w:val="en-US"/>
        </w:rPr>
        <w:t>pembaruan</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aspek</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metodologis</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penetapan</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hukum</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dalam</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Bahtsul</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Masail</w:t>
      </w:r>
      <w:proofErr w:type="spellEnd"/>
      <w:r w:rsidRPr="00C613CC">
        <w:rPr>
          <w:rFonts w:ascii="Minion Pro" w:hAnsi="Minion Pro" w:cs="Times New Roman"/>
          <w:sz w:val="24"/>
          <w:szCs w:val="24"/>
          <w:lang w:val="en-US"/>
        </w:rPr>
        <w:t>.</w:t>
      </w:r>
      <w:r w:rsidRPr="00C613CC">
        <w:rPr>
          <w:rFonts w:ascii="Minion Pro" w:hAnsi="Minion Pro" w:cs="Times New Roman"/>
          <w:sz w:val="24"/>
          <w:szCs w:val="24"/>
          <w:vertAlign w:val="superscript"/>
          <w:lang w:val="en-US"/>
        </w:rPr>
        <w:footnoteReference w:id="1"/>
      </w:r>
    </w:p>
    <w:p w14:paraId="42C48470" w14:textId="77777777" w:rsidR="00C613CC" w:rsidRPr="00C613CC" w:rsidRDefault="00C613CC" w:rsidP="00C613CC">
      <w:pPr>
        <w:spacing w:line="240" w:lineRule="auto"/>
        <w:jc w:val="both"/>
        <w:rPr>
          <w:rFonts w:ascii="Minion Pro" w:hAnsi="Minion Pro" w:cs="Times New Roman"/>
          <w:sz w:val="24"/>
          <w:szCs w:val="24"/>
          <w:lang w:val="en-US"/>
        </w:rPr>
      </w:pPr>
      <w:proofErr w:type="spellStart"/>
      <w:r w:rsidRPr="00C613CC">
        <w:rPr>
          <w:rFonts w:ascii="Minion Pro" w:hAnsi="Minion Pro" w:cs="Times New Roman"/>
          <w:sz w:val="24"/>
          <w:szCs w:val="24"/>
          <w:lang w:val="en-US"/>
        </w:rPr>
        <w:t>Hasilnya</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Munas</w:t>
      </w:r>
      <w:proofErr w:type="spellEnd"/>
      <w:r w:rsidRPr="00C613CC">
        <w:rPr>
          <w:rFonts w:ascii="Minion Pro" w:hAnsi="Minion Pro" w:cs="Times New Roman"/>
          <w:sz w:val="24"/>
          <w:szCs w:val="24"/>
          <w:lang w:val="en-US"/>
        </w:rPr>
        <w:t xml:space="preserve"> NU 1992 di Lampung </w:t>
      </w:r>
      <w:proofErr w:type="spellStart"/>
      <w:r w:rsidRPr="00C613CC">
        <w:rPr>
          <w:rFonts w:ascii="Minion Pro" w:hAnsi="Minion Pro" w:cs="Times New Roman"/>
          <w:sz w:val="24"/>
          <w:szCs w:val="24"/>
          <w:lang w:val="en-US"/>
        </w:rPr>
        <w:t>tersebut</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menghasilkan</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rumusan</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metode</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penetapan</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hukum</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i/>
          <w:iCs/>
          <w:sz w:val="24"/>
          <w:szCs w:val="24"/>
          <w:lang w:val="en-US"/>
        </w:rPr>
        <w:t>istinbāth</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dalam</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Bahtsul</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Masail</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Poin</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penting</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dari</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rumusan</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tersebut</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adalah</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trilogi</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metode</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i/>
          <w:iCs/>
          <w:sz w:val="24"/>
          <w:szCs w:val="24"/>
          <w:lang w:val="en-US"/>
        </w:rPr>
        <w:t>istibāth</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yaitu</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metode</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i/>
          <w:iCs/>
          <w:sz w:val="24"/>
          <w:szCs w:val="24"/>
          <w:lang w:val="en-US"/>
        </w:rPr>
        <w:t>qaulī</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metode</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i/>
          <w:iCs/>
          <w:sz w:val="24"/>
          <w:szCs w:val="24"/>
          <w:lang w:val="en-US"/>
        </w:rPr>
        <w:t>ilhāqī</w:t>
      </w:r>
      <w:proofErr w:type="spellEnd"/>
      <w:r w:rsidRPr="00C613CC">
        <w:rPr>
          <w:rFonts w:ascii="Minion Pro" w:hAnsi="Minion Pro" w:cs="Times New Roman"/>
          <w:sz w:val="24"/>
          <w:szCs w:val="24"/>
          <w:lang w:val="en-US"/>
        </w:rPr>
        <w:t xml:space="preserve">, dan </w:t>
      </w:r>
      <w:proofErr w:type="spellStart"/>
      <w:r w:rsidRPr="00C613CC">
        <w:rPr>
          <w:rFonts w:ascii="Minion Pro" w:hAnsi="Minion Pro" w:cs="Times New Roman"/>
          <w:sz w:val="24"/>
          <w:szCs w:val="24"/>
          <w:lang w:val="en-US"/>
        </w:rPr>
        <w:t>metode</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i/>
          <w:iCs/>
          <w:sz w:val="24"/>
          <w:szCs w:val="24"/>
          <w:lang w:val="en-US"/>
        </w:rPr>
        <w:t>manhajī</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Metode</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i/>
          <w:iCs/>
          <w:sz w:val="24"/>
          <w:szCs w:val="24"/>
          <w:lang w:val="en-US"/>
        </w:rPr>
        <w:t>qaulī</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adalah</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mengikuti</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pendapat-pendapat</w:t>
      </w:r>
      <w:proofErr w:type="spellEnd"/>
      <w:r w:rsidRPr="00C613CC">
        <w:rPr>
          <w:rFonts w:ascii="Minion Pro" w:hAnsi="Minion Pro" w:cs="Times New Roman"/>
          <w:sz w:val="24"/>
          <w:szCs w:val="24"/>
          <w:lang w:val="en-US"/>
        </w:rPr>
        <w:t xml:space="preserve"> yang </w:t>
      </w:r>
      <w:proofErr w:type="spellStart"/>
      <w:r w:rsidRPr="00C613CC">
        <w:rPr>
          <w:rFonts w:ascii="Minion Pro" w:hAnsi="Minion Pro" w:cs="Times New Roman"/>
          <w:sz w:val="24"/>
          <w:szCs w:val="24"/>
          <w:lang w:val="en-US"/>
        </w:rPr>
        <w:t>sudah</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jadi</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dalam</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lingkup</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mazhab</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tertentu</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Metode</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i/>
          <w:iCs/>
          <w:sz w:val="24"/>
          <w:szCs w:val="24"/>
          <w:lang w:val="en-US"/>
        </w:rPr>
        <w:t>ilhāqī</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adalah</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menyamakan</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suatu</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kasus</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aktual</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dengan</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kasus</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serupa</w:t>
      </w:r>
      <w:proofErr w:type="spellEnd"/>
      <w:r w:rsidRPr="00C613CC">
        <w:rPr>
          <w:rFonts w:ascii="Minion Pro" w:hAnsi="Minion Pro" w:cs="Times New Roman"/>
          <w:sz w:val="24"/>
          <w:szCs w:val="24"/>
          <w:lang w:val="en-US"/>
        </w:rPr>
        <w:t xml:space="preserve"> yang </w:t>
      </w:r>
      <w:proofErr w:type="spellStart"/>
      <w:r w:rsidRPr="00C613CC">
        <w:rPr>
          <w:rFonts w:ascii="Minion Pro" w:hAnsi="Minion Pro" w:cs="Times New Roman"/>
          <w:sz w:val="24"/>
          <w:szCs w:val="24"/>
          <w:lang w:val="en-US"/>
        </w:rPr>
        <w:t>telah</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ada</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ketentuan</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hukumnya</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dalam</w:t>
      </w:r>
      <w:proofErr w:type="spellEnd"/>
      <w:r w:rsidRPr="00C613CC">
        <w:rPr>
          <w:rFonts w:ascii="Minion Pro" w:hAnsi="Minion Pro" w:cs="Times New Roman"/>
          <w:sz w:val="24"/>
          <w:szCs w:val="24"/>
          <w:lang w:val="en-US"/>
        </w:rPr>
        <w:t xml:space="preserve"> kitab </w:t>
      </w:r>
      <w:proofErr w:type="spellStart"/>
      <w:r w:rsidRPr="00C613CC">
        <w:rPr>
          <w:rFonts w:ascii="Minion Pro" w:hAnsi="Minion Pro" w:cs="Times New Roman"/>
          <w:sz w:val="24"/>
          <w:szCs w:val="24"/>
          <w:lang w:val="en-US"/>
        </w:rPr>
        <w:t>kuning</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Sementara</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metode</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i/>
          <w:iCs/>
          <w:sz w:val="24"/>
          <w:szCs w:val="24"/>
          <w:lang w:val="en-US"/>
        </w:rPr>
        <w:t>manhajī</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adalah</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mengikuti</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jalan</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pikiran</w:t>
      </w:r>
      <w:proofErr w:type="spellEnd"/>
      <w:r w:rsidRPr="00C613CC">
        <w:rPr>
          <w:rFonts w:ascii="Minion Pro" w:hAnsi="Minion Pro" w:cs="Times New Roman"/>
          <w:sz w:val="24"/>
          <w:szCs w:val="24"/>
          <w:lang w:val="en-US"/>
        </w:rPr>
        <w:t xml:space="preserve"> dan </w:t>
      </w:r>
      <w:proofErr w:type="spellStart"/>
      <w:r w:rsidRPr="00C613CC">
        <w:rPr>
          <w:rFonts w:ascii="Minion Pro" w:hAnsi="Minion Pro" w:cs="Times New Roman"/>
          <w:sz w:val="24"/>
          <w:szCs w:val="24"/>
          <w:lang w:val="en-US"/>
        </w:rPr>
        <w:t>kaidah</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penetapan</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hukum</w:t>
      </w:r>
      <w:proofErr w:type="spellEnd"/>
      <w:r w:rsidRPr="00C613CC">
        <w:rPr>
          <w:rFonts w:ascii="Minion Pro" w:hAnsi="Minion Pro" w:cs="Times New Roman"/>
          <w:sz w:val="24"/>
          <w:szCs w:val="24"/>
          <w:lang w:val="en-US"/>
        </w:rPr>
        <w:t xml:space="preserve"> yang </w:t>
      </w:r>
      <w:proofErr w:type="spellStart"/>
      <w:r w:rsidRPr="00C613CC">
        <w:rPr>
          <w:rFonts w:ascii="Minion Pro" w:hAnsi="Minion Pro" w:cs="Times New Roman"/>
          <w:sz w:val="24"/>
          <w:szCs w:val="24"/>
          <w:lang w:val="en-US"/>
        </w:rPr>
        <w:t>telah</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disusun</w:t>
      </w:r>
      <w:proofErr w:type="spellEnd"/>
      <w:r w:rsidRPr="00C613CC">
        <w:rPr>
          <w:rFonts w:ascii="Minion Pro" w:hAnsi="Minion Pro" w:cs="Times New Roman"/>
          <w:sz w:val="24"/>
          <w:szCs w:val="24"/>
          <w:lang w:val="en-US"/>
        </w:rPr>
        <w:t xml:space="preserve"> oleh imam </w:t>
      </w:r>
      <w:proofErr w:type="spellStart"/>
      <w:r w:rsidRPr="00C613CC">
        <w:rPr>
          <w:rFonts w:ascii="Minion Pro" w:hAnsi="Minion Pro" w:cs="Times New Roman"/>
          <w:sz w:val="24"/>
          <w:szCs w:val="24"/>
          <w:lang w:val="en-US"/>
        </w:rPr>
        <w:t>mazhab</w:t>
      </w:r>
      <w:proofErr w:type="spellEnd"/>
      <w:r w:rsidRPr="00C613CC">
        <w:rPr>
          <w:rFonts w:ascii="Minion Pro" w:hAnsi="Minion Pro" w:cs="Times New Roman"/>
          <w:sz w:val="24"/>
          <w:szCs w:val="24"/>
          <w:lang w:val="en-US"/>
        </w:rPr>
        <w:t xml:space="preserve">. Dari </w:t>
      </w:r>
      <w:proofErr w:type="spellStart"/>
      <w:r w:rsidRPr="00C613CC">
        <w:rPr>
          <w:rFonts w:ascii="Minion Pro" w:hAnsi="Minion Pro" w:cs="Times New Roman"/>
          <w:sz w:val="24"/>
          <w:szCs w:val="24"/>
          <w:lang w:val="en-US"/>
        </w:rPr>
        <w:t>tiga</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metode</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tersebut</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metode</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i/>
          <w:iCs/>
          <w:sz w:val="24"/>
          <w:szCs w:val="24"/>
          <w:lang w:val="en-US"/>
        </w:rPr>
        <w:t>qaulī</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tetap</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diposisikan</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sebagai</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metode</w:t>
      </w:r>
      <w:proofErr w:type="spellEnd"/>
      <w:r w:rsidRPr="00C613CC">
        <w:rPr>
          <w:rFonts w:ascii="Minion Pro" w:hAnsi="Minion Pro" w:cs="Times New Roman"/>
          <w:sz w:val="24"/>
          <w:szCs w:val="24"/>
          <w:lang w:val="en-US"/>
        </w:rPr>
        <w:t xml:space="preserve"> primer; </w:t>
      </w:r>
      <w:proofErr w:type="spellStart"/>
      <w:r w:rsidRPr="00C613CC">
        <w:rPr>
          <w:rFonts w:ascii="Minion Pro" w:hAnsi="Minion Pro" w:cs="Times New Roman"/>
          <w:sz w:val="24"/>
          <w:szCs w:val="24"/>
          <w:lang w:val="en-US"/>
        </w:rPr>
        <w:t>dalam</w:t>
      </w:r>
      <w:proofErr w:type="spellEnd"/>
      <w:r w:rsidRPr="00C613CC">
        <w:rPr>
          <w:rFonts w:ascii="Minion Pro" w:hAnsi="Minion Pro" w:cs="Times New Roman"/>
          <w:sz w:val="24"/>
          <w:szCs w:val="24"/>
          <w:lang w:val="en-US"/>
        </w:rPr>
        <w:t xml:space="preserve"> arti </w:t>
      </w:r>
      <w:proofErr w:type="spellStart"/>
      <w:r w:rsidRPr="00C613CC">
        <w:rPr>
          <w:rFonts w:ascii="Minion Pro" w:hAnsi="Minion Pro" w:cs="Times New Roman"/>
          <w:sz w:val="24"/>
          <w:szCs w:val="24"/>
          <w:lang w:val="en-US"/>
        </w:rPr>
        <w:t>bahwa</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selama</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metode</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tersebut</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memungkinkan</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untuk</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dilakukan</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maka</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Bahtusl</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Masail</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tidak</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akan</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melibatkan</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dua</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metode</w:t>
      </w:r>
      <w:proofErr w:type="spellEnd"/>
      <w:r w:rsidRPr="00C613CC">
        <w:rPr>
          <w:rFonts w:ascii="Minion Pro" w:hAnsi="Minion Pro" w:cs="Times New Roman"/>
          <w:sz w:val="24"/>
          <w:szCs w:val="24"/>
          <w:lang w:val="en-US"/>
        </w:rPr>
        <w:t xml:space="preserve"> yang lain.</w:t>
      </w:r>
      <w:r w:rsidRPr="00C613CC">
        <w:rPr>
          <w:rFonts w:ascii="Minion Pro" w:hAnsi="Minion Pro" w:cs="Times New Roman"/>
          <w:sz w:val="24"/>
          <w:szCs w:val="24"/>
          <w:vertAlign w:val="superscript"/>
          <w:lang w:val="en-US"/>
        </w:rPr>
        <w:footnoteReference w:id="2"/>
      </w:r>
      <w:r w:rsidRPr="00C613CC">
        <w:rPr>
          <w:rFonts w:ascii="Minion Pro" w:hAnsi="Minion Pro" w:cs="Times New Roman"/>
          <w:sz w:val="24"/>
          <w:szCs w:val="24"/>
          <w:lang w:val="en-US"/>
        </w:rPr>
        <w:t xml:space="preserve"> </w:t>
      </w:r>
    </w:p>
    <w:p w14:paraId="0819A538" w14:textId="77777777" w:rsidR="00C613CC" w:rsidRPr="00C613CC" w:rsidRDefault="00C613CC" w:rsidP="00C613CC">
      <w:pPr>
        <w:spacing w:line="240" w:lineRule="auto"/>
        <w:jc w:val="both"/>
        <w:rPr>
          <w:rFonts w:ascii="Minion Pro" w:hAnsi="Minion Pro" w:cs="Times New Roman"/>
          <w:sz w:val="24"/>
          <w:szCs w:val="24"/>
          <w:lang w:val="en-US"/>
        </w:rPr>
      </w:pPr>
      <w:proofErr w:type="spellStart"/>
      <w:r w:rsidRPr="00C613CC">
        <w:rPr>
          <w:rFonts w:ascii="Minion Pro" w:hAnsi="Minion Pro" w:cs="Times New Roman"/>
          <w:sz w:val="24"/>
          <w:szCs w:val="24"/>
          <w:lang w:val="en-US"/>
        </w:rPr>
        <w:t>Adanya</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rumusan</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metode</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i/>
          <w:iCs/>
          <w:sz w:val="24"/>
          <w:szCs w:val="24"/>
          <w:lang w:val="en-US"/>
        </w:rPr>
        <w:t>istinbāth</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tahun</w:t>
      </w:r>
      <w:proofErr w:type="spellEnd"/>
      <w:r w:rsidRPr="00C613CC">
        <w:rPr>
          <w:rFonts w:ascii="Minion Pro" w:hAnsi="Minion Pro" w:cs="Times New Roman"/>
          <w:sz w:val="24"/>
          <w:szCs w:val="24"/>
          <w:lang w:val="en-US"/>
        </w:rPr>
        <w:t xml:space="preserve"> 1992 </w:t>
      </w:r>
      <w:proofErr w:type="spellStart"/>
      <w:r w:rsidRPr="00C613CC">
        <w:rPr>
          <w:rFonts w:ascii="Minion Pro" w:hAnsi="Minion Pro" w:cs="Times New Roman"/>
          <w:sz w:val="24"/>
          <w:szCs w:val="24"/>
          <w:lang w:val="en-US"/>
        </w:rPr>
        <w:t>tersebut</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menjadi</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titik-balik</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munculnya</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minat</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akademik</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terhadap</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Bahtsul</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Masail</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Bermunculan</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peneliti</w:t>
      </w:r>
      <w:proofErr w:type="spellEnd"/>
      <w:r w:rsidRPr="00C613CC">
        <w:rPr>
          <w:rFonts w:ascii="Minion Pro" w:hAnsi="Minion Pro" w:cs="Times New Roman"/>
          <w:sz w:val="24"/>
          <w:szCs w:val="24"/>
          <w:lang w:val="en-US"/>
        </w:rPr>
        <w:t xml:space="preserve"> yang </w:t>
      </w:r>
      <w:proofErr w:type="spellStart"/>
      <w:r w:rsidRPr="00C613CC">
        <w:rPr>
          <w:rFonts w:ascii="Minion Pro" w:hAnsi="Minion Pro" w:cs="Times New Roman"/>
          <w:sz w:val="24"/>
          <w:szCs w:val="24"/>
          <w:lang w:val="en-US"/>
        </w:rPr>
        <w:t>menulis</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karya</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ilmiah</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sekelas</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tesis</w:t>
      </w:r>
      <w:proofErr w:type="spellEnd"/>
      <w:r w:rsidRPr="00C613CC">
        <w:rPr>
          <w:rFonts w:ascii="Minion Pro" w:hAnsi="Minion Pro" w:cs="Times New Roman"/>
          <w:sz w:val="24"/>
          <w:szCs w:val="24"/>
          <w:lang w:val="en-US"/>
        </w:rPr>
        <w:t xml:space="preserve"> dan </w:t>
      </w:r>
      <w:proofErr w:type="spellStart"/>
      <w:r w:rsidRPr="00C613CC">
        <w:rPr>
          <w:rFonts w:ascii="Minion Pro" w:hAnsi="Minion Pro" w:cs="Times New Roman"/>
          <w:sz w:val="24"/>
          <w:szCs w:val="24"/>
          <w:lang w:val="en-US"/>
        </w:rPr>
        <w:t>disertasi</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tentang</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Bahtsul</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Masail</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Sebut</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saja</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misalnya</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Radino</w:t>
      </w:r>
      <w:proofErr w:type="spellEnd"/>
      <w:r w:rsidRPr="00C613CC">
        <w:rPr>
          <w:rFonts w:ascii="Minion Pro" w:hAnsi="Minion Pro" w:cs="Times New Roman"/>
          <w:sz w:val="24"/>
          <w:szCs w:val="24"/>
          <w:lang w:val="en-US"/>
        </w:rPr>
        <w:t xml:space="preserve"> (1997),</w:t>
      </w:r>
      <w:r w:rsidRPr="00C613CC">
        <w:rPr>
          <w:rFonts w:ascii="Minion Pro" w:hAnsi="Minion Pro" w:cs="Times New Roman"/>
          <w:sz w:val="24"/>
          <w:szCs w:val="24"/>
          <w:vertAlign w:val="superscript"/>
          <w:lang w:val="en-US"/>
        </w:rPr>
        <w:footnoteReference w:id="3"/>
      </w:r>
      <w:r w:rsidRPr="00C613CC">
        <w:rPr>
          <w:rFonts w:ascii="Minion Pro" w:hAnsi="Minion Pro" w:cs="Times New Roman"/>
          <w:sz w:val="24"/>
          <w:szCs w:val="24"/>
          <w:lang w:val="en-US"/>
        </w:rPr>
        <w:t xml:space="preserve"> Imam Yahya (1998),</w:t>
      </w:r>
      <w:r w:rsidRPr="00C613CC">
        <w:rPr>
          <w:rFonts w:ascii="Minion Pro" w:hAnsi="Minion Pro" w:cs="Times New Roman"/>
          <w:sz w:val="24"/>
          <w:szCs w:val="24"/>
          <w:vertAlign w:val="superscript"/>
          <w:lang w:val="en-US"/>
        </w:rPr>
        <w:footnoteReference w:id="4"/>
      </w:r>
      <w:r w:rsidRPr="00C613CC">
        <w:rPr>
          <w:rFonts w:ascii="Minion Pro" w:hAnsi="Minion Pro" w:cs="Times New Roman"/>
          <w:sz w:val="24"/>
          <w:szCs w:val="24"/>
          <w:lang w:val="en-US"/>
        </w:rPr>
        <w:t xml:space="preserve"> Abd. </w:t>
      </w:r>
      <w:proofErr w:type="spellStart"/>
      <w:r w:rsidRPr="00C613CC">
        <w:rPr>
          <w:rFonts w:ascii="Minion Pro" w:hAnsi="Minion Pro" w:cs="Times New Roman"/>
          <w:sz w:val="24"/>
          <w:szCs w:val="24"/>
          <w:lang w:val="en-US"/>
        </w:rPr>
        <w:t>Basid</w:t>
      </w:r>
      <w:proofErr w:type="spellEnd"/>
      <w:r w:rsidRPr="00C613CC">
        <w:rPr>
          <w:rFonts w:ascii="Minion Pro" w:hAnsi="Minion Pro" w:cs="Times New Roman"/>
          <w:sz w:val="24"/>
          <w:szCs w:val="24"/>
          <w:lang w:val="en-US"/>
        </w:rPr>
        <w:t xml:space="preserve"> (1999),</w:t>
      </w:r>
      <w:r w:rsidRPr="00C613CC">
        <w:rPr>
          <w:rFonts w:ascii="Minion Pro" w:hAnsi="Minion Pro" w:cs="Times New Roman"/>
          <w:sz w:val="24"/>
          <w:szCs w:val="24"/>
          <w:vertAlign w:val="superscript"/>
          <w:lang w:val="en-US"/>
        </w:rPr>
        <w:footnoteReference w:id="5"/>
      </w:r>
      <w:r w:rsidRPr="00C613CC">
        <w:rPr>
          <w:rFonts w:ascii="Minion Pro" w:hAnsi="Minion Pro" w:cs="Times New Roman"/>
          <w:sz w:val="24"/>
          <w:szCs w:val="24"/>
          <w:lang w:val="en-US"/>
        </w:rPr>
        <w:t xml:space="preserve"> Ahmad </w:t>
      </w:r>
      <w:proofErr w:type="spellStart"/>
      <w:r w:rsidRPr="00C613CC">
        <w:rPr>
          <w:rFonts w:ascii="Minion Pro" w:hAnsi="Minion Pro" w:cs="Times New Roman"/>
          <w:sz w:val="24"/>
          <w:szCs w:val="24"/>
          <w:lang w:val="en-US"/>
        </w:rPr>
        <w:t>Zahro</w:t>
      </w:r>
      <w:proofErr w:type="spellEnd"/>
      <w:r w:rsidRPr="00C613CC">
        <w:rPr>
          <w:rFonts w:ascii="Minion Pro" w:hAnsi="Minion Pro" w:cs="Times New Roman"/>
          <w:sz w:val="24"/>
          <w:szCs w:val="24"/>
          <w:lang w:val="en-US"/>
        </w:rPr>
        <w:t xml:space="preserve"> (2001),</w:t>
      </w:r>
      <w:r w:rsidRPr="00C613CC">
        <w:rPr>
          <w:rFonts w:ascii="Minion Pro" w:hAnsi="Minion Pro" w:cs="Times New Roman"/>
          <w:sz w:val="24"/>
          <w:szCs w:val="24"/>
          <w:vertAlign w:val="superscript"/>
          <w:lang w:val="en-US"/>
        </w:rPr>
        <w:footnoteReference w:id="6"/>
      </w:r>
      <w:r w:rsidRPr="00C613CC">
        <w:rPr>
          <w:rFonts w:ascii="Minion Pro" w:hAnsi="Minion Pro" w:cs="Times New Roman"/>
          <w:sz w:val="24"/>
          <w:szCs w:val="24"/>
          <w:lang w:val="en-US"/>
        </w:rPr>
        <w:t xml:space="preserve"> </w:t>
      </w:r>
      <w:r w:rsidRPr="00C613CC">
        <w:rPr>
          <w:rFonts w:ascii="Minion Pro" w:hAnsi="Minion Pro" w:cs="Times New Roman"/>
          <w:sz w:val="24"/>
          <w:szCs w:val="24"/>
        </w:rPr>
        <w:t>Achmad Kemal Riza (2004)</w:t>
      </w:r>
      <w:r w:rsidRPr="00C613CC">
        <w:rPr>
          <w:rFonts w:ascii="Minion Pro" w:hAnsi="Minion Pro" w:cs="Times New Roman"/>
          <w:sz w:val="24"/>
          <w:szCs w:val="24"/>
          <w:lang w:val="en-US"/>
        </w:rPr>
        <w:t>,</w:t>
      </w:r>
      <w:r w:rsidRPr="00C613CC">
        <w:rPr>
          <w:rFonts w:ascii="Minion Pro" w:hAnsi="Minion Pro" w:cs="Times New Roman"/>
          <w:sz w:val="24"/>
          <w:szCs w:val="24"/>
          <w:vertAlign w:val="superscript"/>
          <w:lang w:val="en-US"/>
        </w:rPr>
        <w:footnoteReference w:id="7"/>
      </w:r>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Kholisin</w:t>
      </w:r>
      <w:proofErr w:type="spellEnd"/>
      <w:r w:rsidRPr="00C613CC">
        <w:rPr>
          <w:rFonts w:ascii="Minion Pro" w:hAnsi="Minion Pro" w:cs="Times New Roman"/>
          <w:sz w:val="24"/>
          <w:szCs w:val="24"/>
          <w:lang w:val="en-US"/>
        </w:rPr>
        <w:t xml:space="preserve"> (2010),</w:t>
      </w:r>
      <w:r w:rsidRPr="00C613CC">
        <w:rPr>
          <w:rFonts w:ascii="Minion Pro" w:hAnsi="Minion Pro" w:cs="Times New Roman"/>
          <w:sz w:val="24"/>
          <w:szCs w:val="24"/>
          <w:vertAlign w:val="superscript"/>
          <w:lang w:val="en-US"/>
        </w:rPr>
        <w:footnoteReference w:id="8"/>
      </w:r>
      <w:r w:rsidRPr="00C613CC">
        <w:rPr>
          <w:rFonts w:ascii="Minion Pro" w:hAnsi="Minion Pro" w:cs="Times New Roman"/>
          <w:sz w:val="24"/>
          <w:szCs w:val="24"/>
          <w:lang w:val="en-US"/>
        </w:rPr>
        <w:t xml:space="preserve"> Ahmad </w:t>
      </w:r>
      <w:proofErr w:type="spellStart"/>
      <w:r w:rsidRPr="00C613CC">
        <w:rPr>
          <w:rFonts w:ascii="Minion Pro" w:hAnsi="Minion Pro" w:cs="Times New Roman"/>
          <w:sz w:val="24"/>
          <w:szCs w:val="24"/>
          <w:lang w:val="en-US"/>
        </w:rPr>
        <w:t>Muhtadi</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Anshor</w:t>
      </w:r>
      <w:proofErr w:type="spellEnd"/>
      <w:r w:rsidRPr="00C613CC">
        <w:rPr>
          <w:rFonts w:ascii="Minion Pro" w:hAnsi="Minion Pro" w:cs="Times New Roman"/>
          <w:sz w:val="24"/>
          <w:szCs w:val="24"/>
          <w:lang w:val="en-US"/>
        </w:rPr>
        <w:t xml:space="preserve"> </w:t>
      </w:r>
      <w:r w:rsidRPr="00C613CC">
        <w:rPr>
          <w:rFonts w:ascii="Minion Pro" w:hAnsi="Minion Pro" w:cs="Times New Roman"/>
          <w:sz w:val="24"/>
          <w:szCs w:val="24"/>
          <w:lang w:val="en-US"/>
        </w:rPr>
        <w:lastRenderedPageBreak/>
        <w:t>(2011),</w:t>
      </w:r>
      <w:r w:rsidRPr="00C613CC">
        <w:rPr>
          <w:rFonts w:ascii="Minion Pro" w:hAnsi="Minion Pro" w:cs="Times New Roman"/>
          <w:sz w:val="24"/>
          <w:szCs w:val="24"/>
          <w:vertAlign w:val="superscript"/>
          <w:lang w:val="en-US"/>
        </w:rPr>
        <w:footnoteReference w:id="9"/>
      </w:r>
      <w:r w:rsidRPr="00C613CC">
        <w:rPr>
          <w:rFonts w:ascii="Minion Pro" w:hAnsi="Minion Pro" w:cs="Times New Roman"/>
          <w:sz w:val="24"/>
          <w:szCs w:val="24"/>
          <w:lang w:val="en-US"/>
        </w:rPr>
        <w:t xml:space="preserve"> dan </w:t>
      </w:r>
      <w:proofErr w:type="spellStart"/>
      <w:r w:rsidRPr="00C613CC">
        <w:rPr>
          <w:rFonts w:ascii="Minion Pro" w:hAnsi="Minion Pro" w:cs="Times New Roman"/>
          <w:sz w:val="24"/>
          <w:szCs w:val="24"/>
          <w:lang w:val="en-US"/>
        </w:rPr>
        <w:t>Mahsun</w:t>
      </w:r>
      <w:proofErr w:type="spellEnd"/>
      <w:r w:rsidRPr="00C613CC">
        <w:rPr>
          <w:rFonts w:ascii="Minion Pro" w:hAnsi="Minion Pro" w:cs="Times New Roman"/>
          <w:sz w:val="24"/>
          <w:szCs w:val="24"/>
          <w:lang w:val="en-US"/>
        </w:rPr>
        <w:t xml:space="preserve"> (2015),</w:t>
      </w:r>
      <w:r w:rsidRPr="00C613CC">
        <w:rPr>
          <w:rFonts w:ascii="Minion Pro" w:hAnsi="Minion Pro" w:cs="Times New Roman"/>
          <w:sz w:val="24"/>
          <w:szCs w:val="24"/>
          <w:vertAlign w:val="superscript"/>
          <w:lang w:val="en-US"/>
        </w:rPr>
        <w:footnoteReference w:id="10"/>
      </w:r>
      <w:r w:rsidRPr="00C613CC">
        <w:rPr>
          <w:rFonts w:ascii="Minion Pro" w:hAnsi="Minion Pro" w:cs="Times New Roman"/>
          <w:sz w:val="24"/>
          <w:szCs w:val="24"/>
          <w:lang w:val="en-US"/>
        </w:rPr>
        <w:t xml:space="preserve"> M. </w:t>
      </w:r>
      <w:proofErr w:type="spellStart"/>
      <w:r w:rsidRPr="00C613CC">
        <w:rPr>
          <w:rFonts w:ascii="Minion Pro" w:hAnsi="Minion Pro" w:cs="Times New Roman"/>
          <w:sz w:val="24"/>
          <w:szCs w:val="24"/>
          <w:lang w:val="en-US"/>
        </w:rPr>
        <w:t>Afif</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Yuniarto</w:t>
      </w:r>
      <w:proofErr w:type="spellEnd"/>
      <w:r w:rsidRPr="00C613CC">
        <w:rPr>
          <w:rFonts w:ascii="Minion Pro" w:hAnsi="Minion Pro" w:cs="Times New Roman"/>
          <w:sz w:val="24"/>
          <w:szCs w:val="24"/>
          <w:lang w:val="en-US"/>
        </w:rPr>
        <w:t xml:space="preserve"> (2017),</w:t>
      </w:r>
      <w:r w:rsidRPr="00C613CC">
        <w:rPr>
          <w:rFonts w:ascii="Minion Pro" w:hAnsi="Minion Pro" w:cs="Times New Roman"/>
          <w:sz w:val="24"/>
          <w:szCs w:val="24"/>
          <w:vertAlign w:val="superscript"/>
          <w:lang w:val="en-US"/>
        </w:rPr>
        <w:footnoteReference w:id="11"/>
      </w:r>
      <w:r w:rsidRPr="00C613CC">
        <w:rPr>
          <w:rFonts w:ascii="Minion Pro" w:hAnsi="Minion Pro" w:cs="Times New Roman"/>
          <w:sz w:val="24"/>
          <w:szCs w:val="24"/>
          <w:lang w:val="en-US"/>
        </w:rPr>
        <w:t xml:space="preserve"> dan Abdul Wahab (2020).</w:t>
      </w:r>
      <w:r w:rsidRPr="00C613CC">
        <w:rPr>
          <w:rFonts w:ascii="Minion Pro" w:hAnsi="Minion Pro" w:cs="Times New Roman"/>
          <w:sz w:val="24"/>
          <w:szCs w:val="24"/>
          <w:vertAlign w:val="superscript"/>
          <w:lang w:val="en-US"/>
        </w:rPr>
        <w:footnoteReference w:id="12"/>
      </w:r>
    </w:p>
    <w:p w14:paraId="5AE3FCD4" w14:textId="77777777" w:rsidR="00C613CC" w:rsidRPr="00C613CC" w:rsidRDefault="00C613CC" w:rsidP="00C613CC">
      <w:pPr>
        <w:spacing w:line="240" w:lineRule="auto"/>
        <w:jc w:val="both"/>
        <w:rPr>
          <w:rFonts w:ascii="Minion Pro" w:hAnsi="Minion Pro" w:cs="Times New Roman"/>
          <w:sz w:val="24"/>
          <w:szCs w:val="24"/>
          <w:lang w:val="en-US"/>
        </w:rPr>
      </w:pPr>
      <w:r w:rsidRPr="00C613CC">
        <w:rPr>
          <w:rFonts w:ascii="Minion Pro" w:hAnsi="Minion Pro" w:cs="Times New Roman"/>
          <w:sz w:val="24"/>
          <w:szCs w:val="24"/>
          <w:lang w:val="en-US"/>
        </w:rPr>
        <w:t xml:space="preserve">Dari </w:t>
      </w:r>
      <w:proofErr w:type="spellStart"/>
      <w:r w:rsidRPr="00C613CC">
        <w:rPr>
          <w:rFonts w:ascii="Minion Pro" w:hAnsi="Minion Pro" w:cs="Times New Roman"/>
          <w:sz w:val="24"/>
          <w:szCs w:val="24"/>
          <w:lang w:val="en-US"/>
        </w:rPr>
        <w:t>sekian</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banyak</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peneliti</w:t>
      </w:r>
      <w:proofErr w:type="spellEnd"/>
      <w:r w:rsidRPr="00C613CC">
        <w:rPr>
          <w:rFonts w:ascii="Minion Pro" w:hAnsi="Minion Pro" w:cs="Times New Roman"/>
          <w:sz w:val="24"/>
          <w:szCs w:val="24"/>
          <w:lang w:val="en-US"/>
        </w:rPr>
        <w:t xml:space="preserve"> di </w:t>
      </w:r>
      <w:proofErr w:type="spellStart"/>
      <w:r w:rsidRPr="00C613CC">
        <w:rPr>
          <w:rFonts w:ascii="Minion Pro" w:hAnsi="Minion Pro" w:cs="Times New Roman"/>
          <w:sz w:val="24"/>
          <w:szCs w:val="24"/>
          <w:lang w:val="en-US"/>
        </w:rPr>
        <w:t>atas</w:t>
      </w:r>
      <w:proofErr w:type="spellEnd"/>
      <w:r w:rsidRPr="00C613CC">
        <w:rPr>
          <w:rFonts w:ascii="Minion Pro" w:hAnsi="Minion Pro" w:cs="Times New Roman"/>
          <w:sz w:val="24"/>
          <w:szCs w:val="24"/>
          <w:lang w:val="en-US"/>
        </w:rPr>
        <w:t xml:space="preserve">, Ahmad </w:t>
      </w:r>
      <w:proofErr w:type="spellStart"/>
      <w:r w:rsidRPr="00C613CC">
        <w:rPr>
          <w:rFonts w:ascii="Minion Pro" w:hAnsi="Minion Pro" w:cs="Times New Roman"/>
          <w:sz w:val="24"/>
          <w:szCs w:val="24"/>
          <w:lang w:val="en-US"/>
        </w:rPr>
        <w:t>Zahro</w:t>
      </w:r>
      <w:proofErr w:type="spellEnd"/>
      <w:r w:rsidRPr="00C613CC">
        <w:rPr>
          <w:rFonts w:ascii="Minion Pro" w:hAnsi="Minion Pro" w:cs="Times New Roman"/>
          <w:sz w:val="24"/>
          <w:szCs w:val="24"/>
          <w:lang w:val="en-US"/>
        </w:rPr>
        <w:t xml:space="preserve">, Ahmad </w:t>
      </w:r>
      <w:proofErr w:type="spellStart"/>
      <w:r w:rsidRPr="00C613CC">
        <w:rPr>
          <w:rFonts w:ascii="Minion Pro" w:hAnsi="Minion Pro" w:cs="Times New Roman"/>
          <w:sz w:val="24"/>
          <w:szCs w:val="24"/>
          <w:lang w:val="en-US"/>
        </w:rPr>
        <w:t>Muhtadi</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Anshor</w:t>
      </w:r>
      <w:proofErr w:type="spellEnd"/>
      <w:r w:rsidRPr="00C613CC">
        <w:rPr>
          <w:rFonts w:ascii="Minion Pro" w:hAnsi="Minion Pro" w:cs="Times New Roman"/>
          <w:sz w:val="24"/>
          <w:szCs w:val="24"/>
          <w:lang w:val="en-US"/>
        </w:rPr>
        <w:t xml:space="preserve">, dan </w:t>
      </w:r>
      <w:proofErr w:type="spellStart"/>
      <w:r w:rsidRPr="00C613CC">
        <w:rPr>
          <w:rFonts w:ascii="Minion Pro" w:hAnsi="Minion Pro" w:cs="Times New Roman"/>
          <w:sz w:val="24"/>
          <w:szCs w:val="24"/>
          <w:lang w:val="en-US"/>
        </w:rPr>
        <w:t>Mahsun</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menulis</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poin</w:t>
      </w:r>
      <w:proofErr w:type="spellEnd"/>
      <w:r w:rsidRPr="00C613CC">
        <w:rPr>
          <w:rFonts w:ascii="Minion Pro" w:hAnsi="Minion Pro" w:cs="Times New Roman"/>
          <w:sz w:val="24"/>
          <w:szCs w:val="24"/>
          <w:lang w:val="en-US"/>
        </w:rPr>
        <w:t xml:space="preserve"> yang </w:t>
      </w:r>
      <w:proofErr w:type="spellStart"/>
      <w:r w:rsidRPr="00C613CC">
        <w:rPr>
          <w:rFonts w:ascii="Minion Pro" w:hAnsi="Minion Pro" w:cs="Times New Roman"/>
          <w:sz w:val="24"/>
          <w:szCs w:val="24"/>
          <w:lang w:val="en-US"/>
        </w:rPr>
        <w:t>menarik</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tentang</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trilogi</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metode</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i/>
          <w:iCs/>
          <w:sz w:val="24"/>
          <w:szCs w:val="24"/>
          <w:lang w:val="en-US"/>
        </w:rPr>
        <w:t>istinbāth</w:t>
      </w:r>
      <w:proofErr w:type="spellEnd"/>
      <w:r w:rsidRPr="00C613CC">
        <w:rPr>
          <w:rFonts w:ascii="Minion Pro" w:hAnsi="Minion Pro" w:cs="Times New Roman"/>
          <w:i/>
          <w:iCs/>
          <w:sz w:val="24"/>
          <w:szCs w:val="24"/>
          <w:lang w:val="en-US"/>
        </w:rPr>
        <w:t xml:space="preserve"> </w:t>
      </w:r>
      <w:r w:rsidRPr="00C613CC">
        <w:rPr>
          <w:rFonts w:ascii="Minion Pro" w:hAnsi="Minion Pro" w:cs="Times New Roman"/>
          <w:sz w:val="24"/>
          <w:szCs w:val="24"/>
          <w:lang w:val="en-US"/>
        </w:rPr>
        <w:t xml:space="preserve">NU. </w:t>
      </w:r>
      <w:proofErr w:type="spellStart"/>
      <w:r w:rsidRPr="00C613CC">
        <w:rPr>
          <w:rFonts w:ascii="Minion Pro" w:hAnsi="Minion Pro" w:cs="Times New Roman"/>
          <w:sz w:val="24"/>
          <w:szCs w:val="24"/>
          <w:lang w:val="en-US"/>
        </w:rPr>
        <w:t>Ketiganya</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membuat</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klasifikasi</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secara</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kuantitatif</w:t>
      </w:r>
      <w:proofErr w:type="spellEnd"/>
      <w:r w:rsidRPr="00C613CC">
        <w:rPr>
          <w:rFonts w:ascii="Minion Pro" w:hAnsi="Minion Pro" w:cs="Times New Roman"/>
          <w:sz w:val="24"/>
          <w:szCs w:val="24"/>
          <w:lang w:val="en-US"/>
        </w:rPr>
        <w:t xml:space="preserve"> fatwa-fatwa </w:t>
      </w:r>
      <w:proofErr w:type="spellStart"/>
      <w:r w:rsidRPr="00C613CC">
        <w:rPr>
          <w:rFonts w:ascii="Minion Pro" w:hAnsi="Minion Pro" w:cs="Times New Roman"/>
          <w:sz w:val="24"/>
          <w:szCs w:val="24"/>
          <w:lang w:val="en-US"/>
        </w:rPr>
        <w:t>hasil</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Bahtsul</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Masail</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berdasarkan</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metode</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i/>
          <w:iCs/>
          <w:sz w:val="24"/>
          <w:szCs w:val="24"/>
          <w:lang w:val="en-US"/>
        </w:rPr>
        <w:t>istinbāth</w:t>
      </w:r>
      <w:proofErr w:type="spellEnd"/>
      <w:r w:rsidRPr="00C613CC">
        <w:rPr>
          <w:rFonts w:ascii="Minion Pro" w:hAnsi="Minion Pro" w:cs="Times New Roman"/>
          <w:sz w:val="24"/>
          <w:szCs w:val="24"/>
          <w:lang w:val="en-US"/>
        </w:rPr>
        <w:t xml:space="preserve"> yang </w:t>
      </w:r>
      <w:proofErr w:type="spellStart"/>
      <w:r w:rsidRPr="00C613CC">
        <w:rPr>
          <w:rFonts w:ascii="Minion Pro" w:hAnsi="Minion Pro" w:cs="Times New Roman"/>
          <w:sz w:val="24"/>
          <w:szCs w:val="24"/>
          <w:lang w:val="en-US"/>
        </w:rPr>
        <w:t>digunakan</w:t>
      </w:r>
      <w:proofErr w:type="spellEnd"/>
      <w:r w:rsidRPr="00C613CC">
        <w:rPr>
          <w:rFonts w:ascii="Minion Pro" w:hAnsi="Minion Pro" w:cs="Times New Roman"/>
          <w:sz w:val="24"/>
          <w:szCs w:val="24"/>
          <w:lang w:val="en-US"/>
        </w:rPr>
        <w:t xml:space="preserve">. Kesimpulan yang </w:t>
      </w:r>
      <w:proofErr w:type="spellStart"/>
      <w:r w:rsidRPr="00C613CC">
        <w:rPr>
          <w:rFonts w:ascii="Minion Pro" w:hAnsi="Minion Pro" w:cs="Times New Roman"/>
          <w:sz w:val="24"/>
          <w:szCs w:val="24"/>
          <w:lang w:val="en-US"/>
        </w:rPr>
        <w:t>dihasilkan</w:t>
      </w:r>
      <w:proofErr w:type="spellEnd"/>
      <w:r w:rsidRPr="00C613CC">
        <w:rPr>
          <w:rFonts w:ascii="Minion Pro" w:hAnsi="Minion Pro" w:cs="Times New Roman"/>
          <w:sz w:val="24"/>
          <w:szCs w:val="24"/>
          <w:lang w:val="en-US"/>
        </w:rPr>
        <w:t xml:space="preserve"> oleh </w:t>
      </w:r>
      <w:proofErr w:type="spellStart"/>
      <w:r w:rsidRPr="00C613CC">
        <w:rPr>
          <w:rFonts w:ascii="Minion Pro" w:hAnsi="Minion Pro" w:cs="Times New Roman"/>
          <w:sz w:val="24"/>
          <w:szCs w:val="24"/>
          <w:lang w:val="en-US"/>
        </w:rPr>
        <w:t>ketiganya</w:t>
      </w:r>
      <w:proofErr w:type="spellEnd"/>
      <w:r w:rsidRPr="00C613CC">
        <w:rPr>
          <w:rFonts w:ascii="Minion Pro" w:hAnsi="Minion Pro" w:cs="Times New Roman"/>
          <w:sz w:val="24"/>
          <w:szCs w:val="24"/>
          <w:lang w:val="en-US"/>
        </w:rPr>
        <w:t xml:space="preserve"> pun </w:t>
      </w:r>
      <w:proofErr w:type="spellStart"/>
      <w:r w:rsidRPr="00C613CC">
        <w:rPr>
          <w:rFonts w:ascii="Minion Pro" w:hAnsi="Minion Pro" w:cs="Times New Roman"/>
          <w:sz w:val="24"/>
          <w:szCs w:val="24"/>
          <w:lang w:val="en-US"/>
        </w:rPr>
        <w:t>relatif</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sama</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yaitu</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bahwa</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metode</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i/>
          <w:iCs/>
          <w:sz w:val="24"/>
          <w:szCs w:val="24"/>
          <w:lang w:val="en-US"/>
        </w:rPr>
        <w:t>qaulī</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lebih</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dominan</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dalam</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Bahtsul</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Masail</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dibandingkan</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dua</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metode</w:t>
      </w:r>
      <w:proofErr w:type="spellEnd"/>
      <w:r w:rsidRPr="00C613CC">
        <w:rPr>
          <w:rFonts w:ascii="Minion Pro" w:hAnsi="Minion Pro" w:cs="Times New Roman"/>
          <w:sz w:val="24"/>
          <w:szCs w:val="24"/>
          <w:lang w:val="en-US"/>
        </w:rPr>
        <w:t xml:space="preserve"> yang lain; </w:t>
      </w:r>
      <w:proofErr w:type="spellStart"/>
      <w:r w:rsidRPr="00C613CC">
        <w:rPr>
          <w:rFonts w:ascii="Minion Pro" w:hAnsi="Minion Pro" w:cs="Times New Roman"/>
          <w:sz w:val="24"/>
          <w:szCs w:val="24"/>
          <w:lang w:val="en-US"/>
        </w:rPr>
        <w:t>metode</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i/>
          <w:iCs/>
          <w:sz w:val="24"/>
          <w:szCs w:val="24"/>
          <w:lang w:val="en-US"/>
        </w:rPr>
        <w:t>manhajī</w:t>
      </w:r>
      <w:proofErr w:type="spellEnd"/>
      <w:r w:rsidRPr="00C613CC">
        <w:rPr>
          <w:rFonts w:ascii="Minion Pro" w:hAnsi="Minion Pro" w:cs="Times New Roman"/>
          <w:sz w:val="24"/>
          <w:szCs w:val="24"/>
          <w:lang w:val="en-US"/>
        </w:rPr>
        <w:t xml:space="preserve"> juga </w:t>
      </w:r>
      <w:proofErr w:type="spellStart"/>
      <w:r w:rsidRPr="00C613CC">
        <w:rPr>
          <w:rFonts w:ascii="Minion Pro" w:hAnsi="Minion Pro" w:cs="Times New Roman"/>
          <w:sz w:val="24"/>
          <w:szCs w:val="24"/>
          <w:lang w:val="en-US"/>
        </w:rPr>
        <w:t>belum</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produktif</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karena</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baru</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digunakan</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beberapa</w:t>
      </w:r>
      <w:proofErr w:type="spellEnd"/>
      <w:r w:rsidRPr="00C613CC">
        <w:rPr>
          <w:rFonts w:ascii="Minion Pro" w:hAnsi="Minion Pro" w:cs="Times New Roman"/>
          <w:sz w:val="24"/>
          <w:szCs w:val="24"/>
          <w:lang w:val="en-US"/>
        </w:rPr>
        <w:t xml:space="preserve"> kali </w:t>
      </w:r>
      <w:proofErr w:type="spellStart"/>
      <w:r w:rsidRPr="00C613CC">
        <w:rPr>
          <w:rFonts w:ascii="Minion Pro" w:hAnsi="Minion Pro" w:cs="Times New Roman"/>
          <w:sz w:val="24"/>
          <w:szCs w:val="24"/>
          <w:lang w:val="en-US"/>
        </w:rPr>
        <w:t>saja</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dalam</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Bahtsul</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Masail</w:t>
      </w:r>
      <w:proofErr w:type="spellEnd"/>
      <w:r w:rsidRPr="00C613CC">
        <w:rPr>
          <w:rFonts w:ascii="Minion Pro" w:hAnsi="Minion Pro" w:cs="Times New Roman"/>
          <w:sz w:val="24"/>
          <w:szCs w:val="24"/>
          <w:lang w:val="en-US"/>
        </w:rPr>
        <w:t>.</w:t>
      </w:r>
      <w:r w:rsidRPr="00C613CC">
        <w:rPr>
          <w:rFonts w:ascii="Minion Pro" w:hAnsi="Minion Pro" w:cs="Times New Roman"/>
          <w:sz w:val="24"/>
          <w:szCs w:val="24"/>
          <w:vertAlign w:val="superscript"/>
          <w:lang w:val="en-US"/>
        </w:rPr>
        <w:footnoteReference w:id="13"/>
      </w:r>
    </w:p>
    <w:p w14:paraId="04F454FE" w14:textId="77777777" w:rsidR="00C613CC" w:rsidRDefault="00C613CC" w:rsidP="00C613CC">
      <w:pPr>
        <w:spacing w:line="240" w:lineRule="auto"/>
        <w:jc w:val="both"/>
        <w:rPr>
          <w:rFonts w:ascii="Minion Pro" w:hAnsi="Minion Pro" w:cs="Times New Roman"/>
          <w:sz w:val="24"/>
          <w:szCs w:val="24"/>
          <w:lang w:val="en-US"/>
        </w:rPr>
      </w:pPr>
      <w:proofErr w:type="spellStart"/>
      <w:r w:rsidRPr="00C613CC">
        <w:rPr>
          <w:rFonts w:ascii="Minion Pro" w:hAnsi="Minion Pro" w:cs="Times New Roman"/>
          <w:sz w:val="24"/>
          <w:szCs w:val="24"/>
          <w:lang w:val="en-US"/>
        </w:rPr>
        <w:t>Klasifikasi</w:t>
      </w:r>
      <w:proofErr w:type="spellEnd"/>
      <w:r w:rsidRPr="00C613CC">
        <w:rPr>
          <w:rFonts w:ascii="Minion Pro" w:hAnsi="Minion Pro" w:cs="Times New Roman"/>
          <w:sz w:val="24"/>
          <w:szCs w:val="24"/>
          <w:lang w:val="en-US"/>
        </w:rPr>
        <w:t xml:space="preserve"> dan </w:t>
      </w:r>
      <w:proofErr w:type="spellStart"/>
      <w:r w:rsidRPr="00C613CC">
        <w:rPr>
          <w:rFonts w:ascii="Minion Pro" w:hAnsi="Minion Pro" w:cs="Times New Roman"/>
          <w:sz w:val="24"/>
          <w:szCs w:val="24"/>
          <w:lang w:val="en-US"/>
        </w:rPr>
        <w:t>kesimpulan</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dari</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ketiga</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peneliti</w:t>
      </w:r>
      <w:proofErr w:type="spellEnd"/>
      <w:r w:rsidRPr="00C613CC">
        <w:rPr>
          <w:rFonts w:ascii="Minion Pro" w:hAnsi="Minion Pro" w:cs="Times New Roman"/>
          <w:sz w:val="24"/>
          <w:szCs w:val="24"/>
          <w:lang w:val="en-US"/>
        </w:rPr>
        <w:t xml:space="preserve"> di </w:t>
      </w:r>
      <w:proofErr w:type="spellStart"/>
      <w:r w:rsidRPr="00C613CC">
        <w:rPr>
          <w:rFonts w:ascii="Minion Pro" w:hAnsi="Minion Pro" w:cs="Times New Roman"/>
          <w:sz w:val="24"/>
          <w:szCs w:val="24"/>
          <w:lang w:val="en-US"/>
        </w:rPr>
        <w:t>atas</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memuat</w:t>
      </w:r>
      <w:proofErr w:type="spellEnd"/>
      <w:r w:rsidRPr="00C613CC">
        <w:rPr>
          <w:rFonts w:ascii="Minion Pro" w:hAnsi="Minion Pro" w:cs="Times New Roman"/>
          <w:sz w:val="24"/>
          <w:szCs w:val="24"/>
          <w:lang w:val="en-US"/>
        </w:rPr>
        <w:t xml:space="preserve"> problem yang </w:t>
      </w:r>
      <w:proofErr w:type="spellStart"/>
      <w:r w:rsidRPr="00C613CC">
        <w:rPr>
          <w:rFonts w:ascii="Minion Pro" w:hAnsi="Minion Pro" w:cs="Times New Roman"/>
          <w:sz w:val="24"/>
          <w:szCs w:val="24"/>
          <w:lang w:val="en-US"/>
        </w:rPr>
        <w:t>krusial</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Trilogi</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metode</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i/>
          <w:iCs/>
          <w:sz w:val="24"/>
          <w:szCs w:val="24"/>
          <w:lang w:val="en-US"/>
        </w:rPr>
        <w:t>istinbāth</w:t>
      </w:r>
      <w:proofErr w:type="spellEnd"/>
      <w:r w:rsidRPr="00C613CC">
        <w:rPr>
          <w:rFonts w:ascii="Minion Pro" w:hAnsi="Minion Pro" w:cs="Times New Roman"/>
          <w:sz w:val="24"/>
          <w:szCs w:val="24"/>
          <w:lang w:val="en-US"/>
        </w:rPr>
        <w:t xml:space="preserve"> NU </w:t>
      </w:r>
      <w:proofErr w:type="spellStart"/>
      <w:r w:rsidRPr="00C613CC">
        <w:rPr>
          <w:rFonts w:ascii="Minion Pro" w:hAnsi="Minion Pro" w:cs="Times New Roman"/>
          <w:sz w:val="24"/>
          <w:szCs w:val="24"/>
          <w:lang w:val="en-US"/>
        </w:rPr>
        <w:t>dipahami</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sebagai</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tiga</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entitas</w:t>
      </w:r>
      <w:proofErr w:type="spellEnd"/>
      <w:r w:rsidRPr="00C613CC">
        <w:rPr>
          <w:rFonts w:ascii="Minion Pro" w:hAnsi="Minion Pro" w:cs="Times New Roman"/>
          <w:sz w:val="24"/>
          <w:szCs w:val="24"/>
          <w:lang w:val="en-US"/>
        </w:rPr>
        <w:t xml:space="preserve"> yang </w:t>
      </w:r>
      <w:proofErr w:type="spellStart"/>
      <w:r w:rsidRPr="00C613CC">
        <w:rPr>
          <w:rFonts w:ascii="Minion Pro" w:hAnsi="Minion Pro" w:cs="Times New Roman"/>
          <w:sz w:val="24"/>
          <w:szCs w:val="24"/>
          <w:lang w:val="en-US"/>
        </w:rPr>
        <w:t>terpisah</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satu</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sama</w:t>
      </w:r>
      <w:proofErr w:type="spellEnd"/>
      <w:r w:rsidRPr="00C613CC">
        <w:rPr>
          <w:rFonts w:ascii="Minion Pro" w:hAnsi="Minion Pro" w:cs="Times New Roman"/>
          <w:sz w:val="24"/>
          <w:szCs w:val="24"/>
          <w:lang w:val="en-US"/>
        </w:rPr>
        <w:t xml:space="preserve"> lain (</w:t>
      </w:r>
      <w:r w:rsidRPr="00C613CC">
        <w:rPr>
          <w:rFonts w:ascii="Minion Pro" w:hAnsi="Minion Pro" w:cs="Times New Roman"/>
          <w:i/>
          <w:iCs/>
          <w:sz w:val="24"/>
          <w:szCs w:val="24"/>
          <w:lang w:val="en-US"/>
        </w:rPr>
        <w:t>single entities</w:t>
      </w:r>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serta</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memiliki</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karakteristik</w:t>
      </w:r>
      <w:proofErr w:type="spellEnd"/>
      <w:r w:rsidRPr="00C613CC">
        <w:rPr>
          <w:rFonts w:ascii="Minion Pro" w:hAnsi="Minion Pro" w:cs="Times New Roman"/>
          <w:sz w:val="24"/>
          <w:szCs w:val="24"/>
          <w:lang w:val="en-US"/>
        </w:rPr>
        <w:t xml:space="preserve"> yang </w:t>
      </w:r>
      <w:proofErr w:type="spellStart"/>
      <w:r w:rsidRPr="00C613CC">
        <w:rPr>
          <w:rFonts w:ascii="Minion Pro" w:hAnsi="Minion Pro" w:cs="Times New Roman"/>
          <w:sz w:val="24"/>
          <w:szCs w:val="24"/>
          <w:lang w:val="en-US"/>
        </w:rPr>
        <w:t>sama</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sekali</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berbeda</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Padahal</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sebagaimana</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akan</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dibuktikan</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dalam</w:t>
      </w:r>
      <w:proofErr w:type="spellEnd"/>
      <w:r w:rsidRPr="00C613CC">
        <w:rPr>
          <w:rFonts w:ascii="Minion Pro" w:hAnsi="Minion Pro" w:cs="Times New Roman"/>
          <w:sz w:val="24"/>
          <w:szCs w:val="24"/>
          <w:lang w:val="en-US"/>
        </w:rPr>
        <w:t xml:space="preserve"> tulisan </w:t>
      </w:r>
      <w:proofErr w:type="spellStart"/>
      <w:r w:rsidRPr="00C613CC">
        <w:rPr>
          <w:rFonts w:ascii="Minion Pro" w:hAnsi="Minion Pro" w:cs="Times New Roman"/>
          <w:sz w:val="24"/>
          <w:szCs w:val="24"/>
          <w:lang w:val="en-US"/>
        </w:rPr>
        <w:t>ini</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trilogi</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i/>
          <w:iCs/>
          <w:sz w:val="24"/>
          <w:szCs w:val="24"/>
          <w:lang w:val="en-US"/>
        </w:rPr>
        <w:t>istinbāth</w:t>
      </w:r>
      <w:proofErr w:type="spellEnd"/>
      <w:r w:rsidRPr="00C613CC">
        <w:rPr>
          <w:rFonts w:ascii="Minion Pro" w:hAnsi="Minion Pro" w:cs="Times New Roman"/>
          <w:sz w:val="24"/>
          <w:szCs w:val="24"/>
          <w:lang w:val="en-US"/>
        </w:rPr>
        <w:t xml:space="preserve"> NU (</w:t>
      </w:r>
      <w:proofErr w:type="spellStart"/>
      <w:r w:rsidRPr="00C613CC">
        <w:rPr>
          <w:rFonts w:ascii="Minion Pro" w:hAnsi="Minion Pro" w:cs="Times New Roman"/>
          <w:i/>
          <w:iCs/>
          <w:sz w:val="24"/>
          <w:szCs w:val="24"/>
          <w:lang w:val="en-US"/>
        </w:rPr>
        <w:t>qaulī</w:t>
      </w:r>
      <w:proofErr w:type="spellEnd"/>
      <w:r w:rsidRPr="00C613CC">
        <w:rPr>
          <w:rFonts w:ascii="Minion Pro" w:hAnsi="Minion Pro" w:cs="Times New Roman"/>
          <w:i/>
          <w:iCs/>
          <w:sz w:val="24"/>
          <w:szCs w:val="24"/>
          <w:lang w:val="en-US"/>
        </w:rPr>
        <w:t xml:space="preserve">, </w:t>
      </w:r>
      <w:proofErr w:type="spellStart"/>
      <w:r w:rsidRPr="00C613CC">
        <w:rPr>
          <w:rFonts w:ascii="Minion Pro" w:hAnsi="Minion Pro" w:cs="Times New Roman"/>
          <w:i/>
          <w:iCs/>
          <w:sz w:val="24"/>
          <w:szCs w:val="24"/>
          <w:lang w:val="en-US"/>
        </w:rPr>
        <w:t>ilhāqī</w:t>
      </w:r>
      <w:proofErr w:type="spellEnd"/>
      <w:r w:rsidRPr="00C613CC">
        <w:rPr>
          <w:rFonts w:ascii="Minion Pro" w:hAnsi="Minion Pro" w:cs="Times New Roman"/>
          <w:sz w:val="24"/>
          <w:szCs w:val="24"/>
          <w:lang w:val="en-US"/>
        </w:rPr>
        <w:t xml:space="preserve">, dan </w:t>
      </w:r>
      <w:proofErr w:type="spellStart"/>
      <w:r w:rsidRPr="00C613CC">
        <w:rPr>
          <w:rFonts w:ascii="Minion Pro" w:hAnsi="Minion Pro" w:cs="Times New Roman"/>
          <w:i/>
          <w:iCs/>
          <w:sz w:val="24"/>
          <w:szCs w:val="24"/>
          <w:lang w:val="en-US"/>
        </w:rPr>
        <w:t>manhajī</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memiliki</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hubungan</w:t>
      </w:r>
      <w:proofErr w:type="spellEnd"/>
      <w:r w:rsidRPr="00C613CC">
        <w:rPr>
          <w:rFonts w:ascii="Minion Pro" w:hAnsi="Minion Pro" w:cs="Times New Roman"/>
          <w:sz w:val="24"/>
          <w:szCs w:val="24"/>
          <w:lang w:val="en-US"/>
        </w:rPr>
        <w:t xml:space="preserve"> yang </w:t>
      </w:r>
      <w:proofErr w:type="spellStart"/>
      <w:r w:rsidRPr="00C613CC">
        <w:rPr>
          <w:rFonts w:ascii="Minion Pro" w:hAnsi="Minion Pro" w:cs="Times New Roman"/>
          <w:sz w:val="24"/>
          <w:szCs w:val="24"/>
          <w:lang w:val="en-US"/>
        </w:rPr>
        <w:t>dinamis</w:t>
      </w:r>
      <w:proofErr w:type="spellEnd"/>
      <w:r w:rsidRPr="00C613CC">
        <w:rPr>
          <w:rFonts w:ascii="Minion Pro" w:hAnsi="Minion Pro" w:cs="Times New Roman"/>
          <w:sz w:val="24"/>
          <w:szCs w:val="24"/>
          <w:lang w:val="en-US"/>
        </w:rPr>
        <w:t xml:space="preserve"> dan </w:t>
      </w:r>
      <w:proofErr w:type="spellStart"/>
      <w:r w:rsidRPr="00C613CC">
        <w:rPr>
          <w:rFonts w:ascii="Minion Pro" w:hAnsi="Minion Pro" w:cs="Times New Roman"/>
          <w:sz w:val="24"/>
          <w:szCs w:val="24"/>
          <w:lang w:val="en-US"/>
        </w:rPr>
        <w:t>kadangkala</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bertumpang-tindih</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i/>
          <w:iCs/>
          <w:sz w:val="24"/>
          <w:szCs w:val="24"/>
          <w:lang w:val="en-US"/>
        </w:rPr>
        <w:t>tadākhul</w:t>
      </w:r>
      <w:proofErr w:type="spellEnd"/>
      <w:r w:rsidRPr="00C613CC">
        <w:rPr>
          <w:rFonts w:ascii="Minion Pro" w:hAnsi="Minion Pro" w:cs="Times New Roman"/>
          <w:sz w:val="24"/>
          <w:szCs w:val="24"/>
          <w:lang w:val="en-US"/>
        </w:rPr>
        <w:t xml:space="preserve">, </w:t>
      </w:r>
      <w:r w:rsidRPr="00C613CC">
        <w:rPr>
          <w:rFonts w:ascii="Minion Pro" w:hAnsi="Minion Pro" w:cs="Times New Roman"/>
          <w:i/>
          <w:iCs/>
          <w:sz w:val="24"/>
          <w:szCs w:val="24"/>
          <w:lang w:val="en-US"/>
        </w:rPr>
        <w:t>overlap</w:t>
      </w:r>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satu</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sama</w:t>
      </w:r>
      <w:proofErr w:type="spellEnd"/>
      <w:r w:rsidRPr="00C613CC">
        <w:rPr>
          <w:rFonts w:ascii="Minion Pro" w:hAnsi="Minion Pro" w:cs="Times New Roman"/>
          <w:sz w:val="24"/>
          <w:szCs w:val="24"/>
          <w:lang w:val="en-US"/>
        </w:rPr>
        <w:t xml:space="preserve"> lain. </w:t>
      </w:r>
      <w:proofErr w:type="spellStart"/>
      <w:r w:rsidRPr="00C613CC">
        <w:rPr>
          <w:rFonts w:ascii="Minion Pro" w:hAnsi="Minion Pro" w:cs="Times New Roman"/>
          <w:sz w:val="24"/>
          <w:szCs w:val="24"/>
          <w:lang w:val="en-US"/>
        </w:rPr>
        <w:t>Artinya</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penggunaan</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metode</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i/>
          <w:iCs/>
          <w:sz w:val="24"/>
          <w:szCs w:val="24"/>
          <w:lang w:val="en-US"/>
        </w:rPr>
        <w:t>qaulī</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dalam</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satu</w:t>
      </w:r>
      <w:proofErr w:type="spellEnd"/>
      <w:r w:rsidRPr="00C613CC">
        <w:rPr>
          <w:rFonts w:ascii="Minion Pro" w:hAnsi="Minion Pro" w:cs="Times New Roman"/>
          <w:sz w:val="24"/>
          <w:szCs w:val="24"/>
          <w:lang w:val="en-US"/>
        </w:rPr>
        <w:t xml:space="preserve"> fatwa </w:t>
      </w:r>
      <w:proofErr w:type="spellStart"/>
      <w:r w:rsidRPr="00C613CC">
        <w:rPr>
          <w:rFonts w:ascii="Minion Pro" w:hAnsi="Minion Pro" w:cs="Times New Roman"/>
          <w:sz w:val="24"/>
          <w:szCs w:val="24"/>
          <w:lang w:val="en-US"/>
        </w:rPr>
        <w:t>tertentu</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tidak</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lantas</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berarti</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mengabaikan</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dua</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metode</w:t>
      </w:r>
      <w:proofErr w:type="spellEnd"/>
      <w:r w:rsidRPr="00C613CC">
        <w:rPr>
          <w:rFonts w:ascii="Minion Pro" w:hAnsi="Minion Pro" w:cs="Times New Roman"/>
          <w:sz w:val="24"/>
          <w:szCs w:val="24"/>
          <w:lang w:val="en-US"/>
        </w:rPr>
        <w:t xml:space="preserve"> yang lain. Di </w:t>
      </w:r>
      <w:proofErr w:type="spellStart"/>
      <w:r w:rsidRPr="00C613CC">
        <w:rPr>
          <w:rFonts w:ascii="Minion Pro" w:hAnsi="Minion Pro" w:cs="Times New Roman"/>
          <w:sz w:val="24"/>
          <w:szCs w:val="24"/>
          <w:lang w:val="en-US"/>
        </w:rPr>
        <w:t>sisi</w:t>
      </w:r>
      <w:proofErr w:type="spellEnd"/>
      <w:r w:rsidRPr="00C613CC">
        <w:rPr>
          <w:rFonts w:ascii="Minion Pro" w:hAnsi="Minion Pro" w:cs="Times New Roman"/>
          <w:sz w:val="24"/>
          <w:szCs w:val="24"/>
          <w:lang w:val="en-US"/>
        </w:rPr>
        <w:t xml:space="preserve"> yang lain, </w:t>
      </w:r>
      <w:proofErr w:type="spellStart"/>
      <w:r w:rsidRPr="00C613CC">
        <w:rPr>
          <w:rFonts w:ascii="Minion Pro" w:hAnsi="Minion Pro" w:cs="Times New Roman"/>
          <w:sz w:val="24"/>
          <w:szCs w:val="24"/>
          <w:lang w:val="en-US"/>
        </w:rPr>
        <w:t>metode</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i/>
          <w:iCs/>
          <w:sz w:val="24"/>
          <w:szCs w:val="24"/>
          <w:lang w:val="en-US"/>
        </w:rPr>
        <w:t>il</w:t>
      </w:r>
      <w:r w:rsidRPr="00C613CC">
        <w:rPr>
          <w:rFonts w:ascii="Cambria" w:hAnsi="Cambria" w:cs="Cambria"/>
          <w:i/>
          <w:iCs/>
          <w:sz w:val="24"/>
          <w:szCs w:val="24"/>
          <w:lang w:val="en-US"/>
        </w:rPr>
        <w:t>ḥ</w:t>
      </w:r>
      <w:r w:rsidRPr="00C613CC">
        <w:rPr>
          <w:rFonts w:ascii="Minion Pro" w:hAnsi="Minion Pro" w:cs="Times New Roman"/>
          <w:i/>
          <w:iCs/>
          <w:sz w:val="24"/>
          <w:szCs w:val="24"/>
          <w:lang w:val="en-US"/>
        </w:rPr>
        <w:t>āqī</w:t>
      </w:r>
      <w:proofErr w:type="spellEnd"/>
      <w:r w:rsidRPr="00C613CC">
        <w:rPr>
          <w:rFonts w:ascii="Minion Pro" w:hAnsi="Minion Pro" w:cs="Times New Roman"/>
          <w:sz w:val="24"/>
          <w:szCs w:val="24"/>
          <w:lang w:val="en-US"/>
        </w:rPr>
        <w:t xml:space="preserve"> dan </w:t>
      </w:r>
      <w:proofErr w:type="spellStart"/>
      <w:r w:rsidRPr="00C613CC">
        <w:rPr>
          <w:rFonts w:ascii="Minion Pro" w:hAnsi="Minion Pro" w:cs="Times New Roman"/>
          <w:sz w:val="24"/>
          <w:szCs w:val="24"/>
          <w:lang w:val="en-US"/>
        </w:rPr>
        <w:t>metode</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i/>
          <w:iCs/>
          <w:sz w:val="24"/>
          <w:szCs w:val="24"/>
          <w:lang w:val="en-US"/>
        </w:rPr>
        <w:t>manhajī</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seringkali</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tetap</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digunakan</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sekalipun</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tersembunyi</w:t>
      </w:r>
      <w:proofErr w:type="spellEnd"/>
      <w:r w:rsidRPr="00C613CC">
        <w:rPr>
          <w:rFonts w:ascii="Minion Pro" w:hAnsi="Minion Pro" w:cs="Times New Roman"/>
          <w:sz w:val="24"/>
          <w:szCs w:val="24"/>
          <w:lang w:val="en-US"/>
        </w:rPr>
        <w:t xml:space="preserve"> di </w:t>
      </w:r>
      <w:proofErr w:type="spellStart"/>
      <w:r w:rsidRPr="00C613CC">
        <w:rPr>
          <w:rFonts w:ascii="Minion Pro" w:hAnsi="Minion Pro" w:cs="Times New Roman"/>
          <w:sz w:val="24"/>
          <w:szCs w:val="24"/>
          <w:lang w:val="en-US"/>
        </w:rPr>
        <w:t>balik</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penggunaan</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metode</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i/>
          <w:iCs/>
          <w:sz w:val="24"/>
          <w:szCs w:val="24"/>
          <w:lang w:val="en-US"/>
        </w:rPr>
        <w:t>qaulī</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Selain</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itu</w:t>
      </w:r>
      <w:proofErr w:type="spellEnd"/>
      <w:r w:rsidRPr="00C613CC">
        <w:rPr>
          <w:rFonts w:ascii="Minion Pro" w:hAnsi="Minion Pro" w:cs="Times New Roman"/>
          <w:sz w:val="24"/>
          <w:szCs w:val="24"/>
          <w:lang w:val="en-US"/>
        </w:rPr>
        <w:t xml:space="preserve">, tulisan </w:t>
      </w:r>
      <w:proofErr w:type="spellStart"/>
      <w:r w:rsidRPr="00C613CC">
        <w:rPr>
          <w:rFonts w:ascii="Minion Pro" w:hAnsi="Minion Pro" w:cs="Times New Roman"/>
          <w:sz w:val="24"/>
          <w:szCs w:val="24"/>
          <w:lang w:val="en-US"/>
        </w:rPr>
        <w:t>ini</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sekaligus</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membuktikan</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bahwa</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trilogi</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metode</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i/>
          <w:iCs/>
          <w:sz w:val="24"/>
          <w:szCs w:val="24"/>
          <w:lang w:val="en-US"/>
        </w:rPr>
        <w:t>istinbāth</w:t>
      </w:r>
      <w:proofErr w:type="spellEnd"/>
      <w:r w:rsidRPr="00C613CC">
        <w:rPr>
          <w:rFonts w:ascii="Minion Pro" w:hAnsi="Minion Pro" w:cs="Times New Roman"/>
          <w:sz w:val="24"/>
          <w:szCs w:val="24"/>
          <w:lang w:val="en-US"/>
        </w:rPr>
        <w:t xml:space="preserve"> NU </w:t>
      </w:r>
      <w:proofErr w:type="spellStart"/>
      <w:r w:rsidRPr="00C613CC">
        <w:rPr>
          <w:rFonts w:ascii="Minion Pro" w:hAnsi="Minion Pro" w:cs="Times New Roman"/>
          <w:sz w:val="24"/>
          <w:szCs w:val="24"/>
          <w:lang w:val="en-US"/>
        </w:rPr>
        <w:t>bukan</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rumusan</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metodologis</w:t>
      </w:r>
      <w:proofErr w:type="spellEnd"/>
      <w:r w:rsidRPr="00C613CC">
        <w:rPr>
          <w:rFonts w:ascii="Minion Pro" w:hAnsi="Minion Pro" w:cs="Times New Roman"/>
          <w:sz w:val="24"/>
          <w:szCs w:val="24"/>
          <w:lang w:val="en-US"/>
        </w:rPr>
        <w:t xml:space="preserve"> yang </w:t>
      </w:r>
      <w:proofErr w:type="spellStart"/>
      <w:r w:rsidRPr="00C613CC">
        <w:rPr>
          <w:rFonts w:ascii="Minion Pro" w:hAnsi="Minion Pro" w:cs="Times New Roman"/>
          <w:sz w:val="24"/>
          <w:szCs w:val="24"/>
          <w:lang w:val="en-US"/>
        </w:rPr>
        <w:t>baru</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melainkan</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lebih</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merupakan</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institusionalisasi</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tradisi</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berpikir</w:t>
      </w:r>
      <w:proofErr w:type="spellEnd"/>
      <w:r w:rsidRPr="00C613CC">
        <w:rPr>
          <w:rFonts w:ascii="Minion Pro" w:hAnsi="Minion Pro" w:cs="Times New Roman"/>
          <w:sz w:val="24"/>
          <w:szCs w:val="24"/>
          <w:lang w:val="en-US"/>
        </w:rPr>
        <w:t xml:space="preserve"> yang </w:t>
      </w:r>
      <w:proofErr w:type="spellStart"/>
      <w:r w:rsidRPr="00C613CC">
        <w:rPr>
          <w:rFonts w:ascii="Minion Pro" w:hAnsi="Minion Pro" w:cs="Times New Roman"/>
          <w:sz w:val="24"/>
          <w:szCs w:val="24"/>
          <w:lang w:val="en-US"/>
        </w:rPr>
        <w:t>telah</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terbentuk</w:t>
      </w:r>
      <w:proofErr w:type="spellEnd"/>
      <w:r w:rsidRPr="00C613CC">
        <w:rPr>
          <w:rFonts w:ascii="Minion Pro" w:hAnsi="Minion Pro" w:cs="Times New Roman"/>
          <w:sz w:val="24"/>
          <w:szCs w:val="24"/>
          <w:lang w:val="en-US"/>
        </w:rPr>
        <w:t xml:space="preserve"> </w:t>
      </w:r>
      <w:proofErr w:type="spellStart"/>
      <w:r w:rsidRPr="00C613CC">
        <w:rPr>
          <w:rFonts w:ascii="Minion Pro" w:hAnsi="Minion Pro" w:cs="Times New Roman"/>
          <w:sz w:val="24"/>
          <w:szCs w:val="24"/>
          <w:lang w:val="en-US"/>
        </w:rPr>
        <w:t>sejak</w:t>
      </w:r>
      <w:proofErr w:type="spellEnd"/>
      <w:r w:rsidRPr="00C613CC">
        <w:rPr>
          <w:rFonts w:ascii="Minion Pro" w:hAnsi="Minion Pro" w:cs="Times New Roman"/>
          <w:sz w:val="24"/>
          <w:szCs w:val="24"/>
          <w:lang w:val="en-US"/>
        </w:rPr>
        <w:t xml:space="preserve"> lama.</w:t>
      </w:r>
    </w:p>
    <w:p w14:paraId="61B1BDA8" w14:textId="77777777" w:rsidR="0012275E" w:rsidRDefault="0012275E" w:rsidP="001876D5">
      <w:pPr>
        <w:spacing w:line="240" w:lineRule="auto"/>
        <w:jc w:val="both"/>
        <w:rPr>
          <w:rFonts w:ascii="Minion Pro" w:hAnsi="Minion Pro" w:cs="Times New Roman"/>
          <w:sz w:val="24"/>
          <w:szCs w:val="24"/>
          <w:lang w:val="en-US"/>
        </w:rPr>
      </w:pPr>
    </w:p>
    <w:p w14:paraId="45C7EAC5" w14:textId="77777777" w:rsidR="00BA1367" w:rsidRPr="0086579C" w:rsidRDefault="00861178" w:rsidP="00861178">
      <w:pPr>
        <w:pStyle w:val="ListParagraph"/>
        <w:numPr>
          <w:ilvl w:val="0"/>
          <w:numId w:val="1"/>
        </w:numPr>
        <w:spacing w:after="0" w:line="240" w:lineRule="auto"/>
        <w:ind w:left="426" w:hanging="426"/>
        <w:jc w:val="both"/>
        <w:rPr>
          <w:rFonts w:ascii="Minion Pro" w:hAnsi="Minion Pro" w:cs="Times New Roman"/>
          <w:b/>
          <w:sz w:val="24"/>
          <w:szCs w:val="24"/>
        </w:rPr>
      </w:pPr>
      <w:r w:rsidRPr="0086579C">
        <w:rPr>
          <w:rFonts w:ascii="Minion Pro" w:hAnsi="Minion Pro" w:cs="Times New Roman"/>
          <w:b/>
          <w:bCs/>
          <w:sz w:val="24"/>
          <w:szCs w:val="24"/>
        </w:rPr>
        <w:lastRenderedPageBreak/>
        <w:t>METODE PENELITIAN</w:t>
      </w:r>
      <w:r w:rsidR="002E426E" w:rsidRPr="0086579C">
        <w:rPr>
          <w:rFonts w:ascii="Minion Pro" w:hAnsi="Minion Pro" w:cs="Times New Roman"/>
          <w:b/>
          <w:sz w:val="24"/>
          <w:szCs w:val="24"/>
        </w:rPr>
        <w:t xml:space="preserve"> </w:t>
      </w:r>
    </w:p>
    <w:p w14:paraId="28B7D0ED" w14:textId="77777777" w:rsidR="00C613CC" w:rsidRDefault="00C613CC" w:rsidP="00C613CC">
      <w:pPr>
        <w:pStyle w:val="ListParagraph"/>
        <w:spacing w:before="240" w:after="240" w:line="240" w:lineRule="auto"/>
        <w:ind w:left="0"/>
        <w:contextualSpacing w:val="0"/>
        <w:jc w:val="both"/>
        <w:rPr>
          <w:rFonts w:ascii="Minion Pro" w:hAnsi="Minion Pro" w:cs="Times New Roman"/>
          <w:bCs/>
          <w:sz w:val="24"/>
          <w:szCs w:val="24"/>
        </w:rPr>
      </w:pPr>
      <w:proofErr w:type="spellStart"/>
      <w:r w:rsidRPr="00C613CC">
        <w:rPr>
          <w:rFonts w:ascii="Minion Pro" w:hAnsi="Minion Pro" w:cs="Times New Roman"/>
          <w:bCs/>
          <w:sz w:val="24"/>
          <w:szCs w:val="24"/>
          <w:lang w:val="en-US"/>
        </w:rPr>
        <w:t>Penelitian</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ini</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adalah</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studi</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kepustakaan</w:t>
      </w:r>
      <w:proofErr w:type="spellEnd"/>
      <w:r w:rsidRPr="00C613CC">
        <w:rPr>
          <w:rFonts w:ascii="Minion Pro" w:hAnsi="Minion Pro" w:cs="Times New Roman"/>
          <w:bCs/>
          <w:sz w:val="24"/>
          <w:szCs w:val="24"/>
          <w:lang w:val="en-US"/>
        </w:rPr>
        <w:t xml:space="preserve"> (</w:t>
      </w:r>
      <w:r w:rsidRPr="00C613CC">
        <w:rPr>
          <w:rFonts w:ascii="Minion Pro" w:hAnsi="Minion Pro" w:cs="Times New Roman"/>
          <w:bCs/>
          <w:i/>
          <w:iCs/>
          <w:sz w:val="24"/>
          <w:szCs w:val="24"/>
          <w:lang w:val="en-US"/>
        </w:rPr>
        <w:t>library research</w:t>
      </w:r>
      <w:r w:rsidRPr="00C613CC">
        <w:rPr>
          <w:rFonts w:ascii="Minion Pro" w:hAnsi="Minion Pro" w:cs="Times New Roman"/>
          <w:bCs/>
          <w:sz w:val="24"/>
          <w:szCs w:val="24"/>
          <w:lang w:val="en-US"/>
        </w:rPr>
        <w:t xml:space="preserve">) yang </w:t>
      </w:r>
      <w:r w:rsidRPr="00C613CC">
        <w:rPr>
          <w:rFonts w:ascii="Minion Pro" w:hAnsi="Minion Pro" w:cs="Times New Roman"/>
          <w:bCs/>
          <w:sz w:val="24"/>
          <w:szCs w:val="24"/>
        </w:rPr>
        <w:t>menggunakan</w:t>
      </w:r>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metode</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analisis</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isi</w:t>
      </w:r>
      <w:proofErr w:type="spellEnd"/>
      <w:r w:rsidRPr="00C613CC">
        <w:rPr>
          <w:rFonts w:ascii="Minion Pro" w:hAnsi="Minion Pro" w:cs="Times New Roman"/>
          <w:bCs/>
          <w:sz w:val="24"/>
          <w:szCs w:val="24"/>
          <w:lang w:val="en-US"/>
        </w:rPr>
        <w:t xml:space="preserve"> (</w:t>
      </w:r>
      <w:r w:rsidRPr="00C613CC">
        <w:rPr>
          <w:rFonts w:ascii="Minion Pro" w:hAnsi="Minion Pro" w:cs="Times New Roman"/>
          <w:bCs/>
          <w:i/>
          <w:iCs/>
          <w:sz w:val="24"/>
          <w:szCs w:val="24"/>
          <w:lang w:val="en-US"/>
        </w:rPr>
        <w:t>content analysis</w:t>
      </w:r>
      <w:r w:rsidRPr="00C613CC">
        <w:rPr>
          <w:rFonts w:ascii="Minion Pro" w:hAnsi="Minion Pro" w:cs="Times New Roman"/>
          <w:bCs/>
          <w:sz w:val="24"/>
          <w:szCs w:val="24"/>
          <w:lang w:val="en-US"/>
        </w:rPr>
        <w:t>)</w:t>
      </w:r>
      <w:r w:rsidRPr="00C613CC">
        <w:rPr>
          <w:rFonts w:ascii="Minion Pro" w:hAnsi="Minion Pro" w:cs="Times New Roman"/>
          <w:bCs/>
          <w:sz w:val="24"/>
          <w:szCs w:val="24"/>
        </w:rPr>
        <w:t xml:space="preserve"> yang bersifat kualitatif</w:t>
      </w:r>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Secara</w:t>
      </w:r>
      <w:proofErr w:type="spellEnd"/>
      <w:r w:rsidRPr="00C613CC">
        <w:rPr>
          <w:rFonts w:ascii="Minion Pro" w:hAnsi="Minion Pro" w:cs="Times New Roman"/>
          <w:bCs/>
          <w:sz w:val="24"/>
          <w:szCs w:val="24"/>
          <w:lang w:val="en-US"/>
        </w:rPr>
        <w:t xml:space="preserve"> garis </w:t>
      </w:r>
      <w:proofErr w:type="spellStart"/>
      <w:r w:rsidRPr="00C613CC">
        <w:rPr>
          <w:rFonts w:ascii="Minion Pro" w:hAnsi="Minion Pro" w:cs="Times New Roman"/>
          <w:bCs/>
          <w:sz w:val="24"/>
          <w:szCs w:val="24"/>
          <w:lang w:val="en-US"/>
        </w:rPr>
        <w:t>besar</w:t>
      </w:r>
      <w:proofErr w:type="spellEnd"/>
      <w:r w:rsidRPr="00C613CC">
        <w:rPr>
          <w:rFonts w:ascii="Minion Pro" w:hAnsi="Minion Pro" w:cs="Times New Roman"/>
          <w:bCs/>
          <w:sz w:val="24"/>
          <w:szCs w:val="24"/>
          <w:lang w:val="en-US"/>
        </w:rPr>
        <w:t>,</w:t>
      </w:r>
      <w:r w:rsidRPr="00C613CC">
        <w:rPr>
          <w:rFonts w:ascii="Minion Pro" w:hAnsi="Minion Pro" w:cs="Times New Roman"/>
          <w:bCs/>
          <w:sz w:val="24"/>
          <w:szCs w:val="24"/>
        </w:rPr>
        <w:t xml:space="preserve"> seperti dikatakan oleh Klaus Krippendorff (2004),</w:t>
      </w:r>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analisis</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isi</w:t>
      </w:r>
      <w:proofErr w:type="spellEnd"/>
      <w:r w:rsidRPr="00C613CC">
        <w:rPr>
          <w:rFonts w:ascii="Minion Pro" w:hAnsi="Minion Pro" w:cs="Times New Roman"/>
          <w:bCs/>
          <w:sz w:val="24"/>
          <w:szCs w:val="24"/>
        </w:rPr>
        <w:t xml:space="preserve"> adalah sebuah teknik penelitian untuk menghasilkan makna yang valid (</w:t>
      </w:r>
      <w:r w:rsidRPr="00C613CC">
        <w:rPr>
          <w:rFonts w:ascii="Minion Pro" w:hAnsi="Minion Pro" w:cs="Times New Roman"/>
          <w:bCs/>
          <w:i/>
          <w:iCs/>
          <w:sz w:val="24"/>
          <w:szCs w:val="24"/>
        </w:rPr>
        <w:t>valid inferences</w:t>
      </w:r>
      <w:r w:rsidRPr="00C613CC">
        <w:rPr>
          <w:rFonts w:ascii="Minion Pro" w:hAnsi="Minion Pro" w:cs="Times New Roman"/>
          <w:bCs/>
          <w:sz w:val="24"/>
          <w:szCs w:val="24"/>
        </w:rPr>
        <w:t>) dari sebuah teks atau simbol lainnya dan merelipkasikannya (</w:t>
      </w:r>
      <w:r w:rsidRPr="00C613CC">
        <w:rPr>
          <w:rFonts w:ascii="Minion Pro" w:hAnsi="Minion Pro" w:cs="Times New Roman"/>
          <w:bCs/>
          <w:i/>
          <w:iCs/>
          <w:sz w:val="24"/>
          <w:szCs w:val="24"/>
        </w:rPr>
        <w:t>replicable</w:t>
      </w:r>
      <w:r w:rsidRPr="00C613CC">
        <w:rPr>
          <w:rFonts w:ascii="Minion Pro" w:hAnsi="Minion Pro" w:cs="Times New Roman"/>
          <w:bCs/>
          <w:sz w:val="24"/>
          <w:szCs w:val="24"/>
        </w:rPr>
        <w:t>) ke dalam konteksnya yang semestinya (</w:t>
      </w:r>
      <w:r w:rsidRPr="00C613CC">
        <w:rPr>
          <w:rFonts w:ascii="Minion Pro" w:hAnsi="Minion Pro" w:cs="Times New Roman"/>
          <w:bCs/>
          <w:i/>
          <w:iCs/>
          <w:sz w:val="24"/>
          <w:szCs w:val="24"/>
        </w:rPr>
        <w:t>the contexts of their use</w:t>
      </w:r>
      <w:r w:rsidRPr="00C613CC">
        <w:rPr>
          <w:rFonts w:ascii="Minion Pro" w:hAnsi="Minion Pro" w:cs="Times New Roman"/>
          <w:bCs/>
          <w:sz w:val="24"/>
          <w:szCs w:val="24"/>
        </w:rPr>
        <w:t>).</w:t>
      </w:r>
      <w:r w:rsidRPr="00C613CC">
        <w:rPr>
          <w:rFonts w:ascii="Minion Pro" w:hAnsi="Minion Pro" w:cs="Times New Roman"/>
          <w:bCs/>
          <w:sz w:val="24"/>
          <w:szCs w:val="24"/>
          <w:vertAlign w:val="superscript"/>
        </w:rPr>
        <w:footnoteReference w:id="14"/>
      </w:r>
      <w:r w:rsidRPr="00C613CC">
        <w:rPr>
          <w:rFonts w:ascii="Minion Pro" w:hAnsi="Minion Pro" w:cs="Times New Roman"/>
          <w:bCs/>
          <w:sz w:val="24"/>
          <w:szCs w:val="24"/>
        </w:rPr>
        <w:t xml:space="preserve"> Teks yang dimaksud dalam tulisan ini adalah dokumen tertulis fatwa-fatwa hasil Bahtsul Masail PBNU dan PWNU Jawa Timur sebagai sumber data primer. Dalam hal ini, tulisan ini memandang bahwa konteks tidak hanya sekedar teks yang berdiri sendiri, namun juga ada konteks yang mengitarinya.</w:t>
      </w:r>
    </w:p>
    <w:p w14:paraId="67EF610B" w14:textId="77777777" w:rsidR="00C613CC" w:rsidRDefault="00C613CC" w:rsidP="00C613CC">
      <w:pPr>
        <w:pStyle w:val="ListParagraph"/>
        <w:spacing w:before="240" w:after="240" w:line="240" w:lineRule="auto"/>
        <w:ind w:left="0"/>
        <w:contextualSpacing w:val="0"/>
        <w:jc w:val="both"/>
        <w:rPr>
          <w:rFonts w:ascii="Minion Pro" w:hAnsi="Minion Pro" w:cs="Times New Roman"/>
          <w:bCs/>
          <w:sz w:val="24"/>
          <w:szCs w:val="24"/>
          <w:lang w:val="en-US"/>
        </w:rPr>
      </w:pPr>
      <w:r w:rsidRPr="00C613CC">
        <w:rPr>
          <w:rFonts w:ascii="Minion Pro" w:hAnsi="Minion Pro" w:cs="Times New Roman"/>
          <w:bCs/>
          <w:sz w:val="24"/>
          <w:szCs w:val="24"/>
          <w:lang w:val="en-US"/>
        </w:rPr>
        <w:t xml:space="preserve">Data yang </w:t>
      </w:r>
      <w:proofErr w:type="spellStart"/>
      <w:r w:rsidRPr="00C613CC">
        <w:rPr>
          <w:rFonts w:ascii="Minion Pro" w:hAnsi="Minion Pro" w:cs="Times New Roman"/>
          <w:bCs/>
          <w:sz w:val="24"/>
          <w:szCs w:val="24"/>
          <w:lang w:val="en-US"/>
        </w:rPr>
        <w:t>sedang</w:t>
      </w:r>
      <w:proofErr w:type="spellEnd"/>
      <w:r w:rsidRPr="00C613CC">
        <w:rPr>
          <w:rFonts w:ascii="Minion Pro" w:hAnsi="Minion Pro" w:cs="Times New Roman"/>
          <w:bCs/>
          <w:sz w:val="24"/>
          <w:szCs w:val="24"/>
          <w:lang w:val="en-US"/>
        </w:rPr>
        <w:t xml:space="preserve"> dan </w:t>
      </w:r>
      <w:proofErr w:type="spellStart"/>
      <w:r w:rsidRPr="00C613CC">
        <w:rPr>
          <w:rFonts w:ascii="Minion Pro" w:hAnsi="Minion Pro" w:cs="Times New Roman"/>
          <w:bCs/>
          <w:sz w:val="24"/>
          <w:szCs w:val="24"/>
          <w:lang w:val="en-US"/>
        </w:rPr>
        <w:t>telah</w:t>
      </w:r>
      <w:proofErr w:type="spellEnd"/>
      <w:r w:rsidRPr="00C613CC">
        <w:rPr>
          <w:rFonts w:ascii="Minion Pro" w:hAnsi="Minion Pro" w:cs="Times New Roman"/>
          <w:bCs/>
          <w:sz w:val="24"/>
          <w:szCs w:val="24"/>
          <w:lang w:val="en-US"/>
        </w:rPr>
        <w:t xml:space="preserve"> di</w:t>
      </w:r>
      <w:r w:rsidRPr="00C613CC">
        <w:rPr>
          <w:rFonts w:ascii="Minion Pro" w:hAnsi="Minion Pro" w:cs="Times New Roman"/>
          <w:bCs/>
          <w:sz w:val="24"/>
          <w:szCs w:val="24"/>
        </w:rPr>
        <w:t>peroleh dari sumber data primer dan sekunder langsung</w:t>
      </w:r>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dianalisis</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memakai</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teknik</w:t>
      </w:r>
      <w:proofErr w:type="spellEnd"/>
      <w:r w:rsidRPr="00C613CC">
        <w:rPr>
          <w:rFonts w:ascii="Minion Pro" w:hAnsi="Minion Pro" w:cs="Times New Roman"/>
          <w:bCs/>
          <w:sz w:val="24"/>
          <w:szCs w:val="24"/>
          <w:lang w:val="en-US"/>
        </w:rPr>
        <w:t xml:space="preserve"> “model </w:t>
      </w:r>
      <w:proofErr w:type="spellStart"/>
      <w:r w:rsidRPr="00C613CC">
        <w:rPr>
          <w:rFonts w:ascii="Minion Pro" w:hAnsi="Minion Pro" w:cs="Times New Roman"/>
          <w:bCs/>
          <w:sz w:val="24"/>
          <w:szCs w:val="24"/>
          <w:lang w:val="en-US"/>
        </w:rPr>
        <w:t>interaktif</w:t>
      </w:r>
      <w:proofErr w:type="spellEnd"/>
      <w:r w:rsidRPr="00C613CC">
        <w:rPr>
          <w:rFonts w:ascii="Minion Pro" w:hAnsi="Minion Pro" w:cs="Times New Roman"/>
          <w:bCs/>
          <w:sz w:val="24"/>
          <w:szCs w:val="24"/>
          <w:lang w:val="en-US"/>
        </w:rPr>
        <w:t>” (</w:t>
      </w:r>
      <w:r w:rsidRPr="00C613CC">
        <w:rPr>
          <w:rFonts w:ascii="Minion Pro" w:hAnsi="Minion Pro" w:cs="Times New Roman"/>
          <w:bCs/>
          <w:i/>
          <w:iCs/>
          <w:sz w:val="24"/>
          <w:szCs w:val="24"/>
          <w:lang w:val="en-US"/>
        </w:rPr>
        <w:t>interactive model</w:t>
      </w:r>
      <w:r w:rsidRPr="00C613CC">
        <w:rPr>
          <w:rFonts w:ascii="Minion Pro" w:hAnsi="Minion Pro" w:cs="Times New Roman"/>
          <w:bCs/>
          <w:sz w:val="24"/>
          <w:szCs w:val="24"/>
          <w:lang w:val="en-US"/>
        </w:rPr>
        <w:t xml:space="preserve">) </w:t>
      </w:r>
      <w:r w:rsidRPr="00C613CC">
        <w:rPr>
          <w:rFonts w:ascii="Minion Pro" w:hAnsi="Minion Pro" w:cs="Times New Roman"/>
          <w:bCs/>
          <w:sz w:val="24"/>
          <w:szCs w:val="24"/>
        </w:rPr>
        <w:t>yang ditawarkan oleh</w:t>
      </w:r>
      <w:r w:rsidRPr="00C613CC">
        <w:rPr>
          <w:rFonts w:ascii="Minion Pro" w:hAnsi="Minion Pro" w:cs="Times New Roman"/>
          <w:bCs/>
          <w:sz w:val="24"/>
          <w:szCs w:val="24"/>
          <w:lang w:val="en-US"/>
        </w:rPr>
        <w:t xml:space="preserve"> Miles dan Huberman (1984). Langkah</w:t>
      </w:r>
      <w:r w:rsidRPr="00C613CC">
        <w:rPr>
          <w:rFonts w:ascii="Minion Pro" w:hAnsi="Minion Pro" w:cs="Times New Roman"/>
          <w:bCs/>
          <w:sz w:val="24"/>
          <w:szCs w:val="24"/>
        </w:rPr>
        <w:t>-langkah</w:t>
      </w:r>
      <w:proofErr w:type="spellStart"/>
      <w:r w:rsidRPr="00C613CC">
        <w:rPr>
          <w:rFonts w:ascii="Minion Pro" w:hAnsi="Minion Pro" w:cs="Times New Roman"/>
          <w:bCs/>
          <w:sz w:val="24"/>
          <w:szCs w:val="24"/>
          <w:lang w:val="en-US"/>
        </w:rPr>
        <w:t>nya</w:t>
      </w:r>
      <w:proofErr w:type="spellEnd"/>
      <w:r w:rsidRPr="00C613CC">
        <w:rPr>
          <w:rFonts w:ascii="Minion Pro" w:hAnsi="Minion Pro" w:cs="Times New Roman"/>
          <w:bCs/>
          <w:sz w:val="24"/>
          <w:szCs w:val="24"/>
          <w:lang w:val="en-US"/>
        </w:rPr>
        <w:t xml:space="preserve"> </w:t>
      </w:r>
      <w:r w:rsidRPr="00C613CC">
        <w:rPr>
          <w:rFonts w:ascii="Minion Pro" w:hAnsi="Minion Pro" w:cs="Times New Roman"/>
          <w:bCs/>
          <w:sz w:val="24"/>
          <w:szCs w:val="24"/>
        </w:rPr>
        <w:t xml:space="preserve">secara garis besar </w:t>
      </w:r>
      <w:proofErr w:type="spellStart"/>
      <w:r w:rsidRPr="00C613CC">
        <w:rPr>
          <w:rFonts w:ascii="Minion Pro" w:hAnsi="Minion Pro" w:cs="Times New Roman"/>
          <w:bCs/>
          <w:sz w:val="24"/>
          <w:szCs w:val="24"/>
          <w:lang w:val="en-US"/>
        </w:rPr>
        <w:t>terdiri</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atas</w:t>
      </w:r>
      <w:proofErr w:type="spellEnd"/>
      <w:r w:rsidRPr="00C613CC">
        <w:rPr>
          <w:rFonts w:ascii="Minion Pro" w:hAnsi="Minion Pro" w:cs="Times New Roman"/>
          <w:bCs/>
          <w:sz w:val="24"/>
          <w:szCs w:val="24"/>
        </w:rPr>
        <w:t xml:space="preserve"> empat tahapan, yakni</w:t>
      </w:r>
      <w:r w:rsidRPr="00C613CC">
        <w:rPr>
          <w:rFonts w:ascii="Minion Pro" w:hAnsi="Minion Pro" w:cs="Times New Roman"/>
          <w:bCs/>
          <w:sz w:val="24"/>
          <w:szCs w:val="24"/>
          <w:lang w:val="en-US"/>
        </w:rPr>
        <w:t xml:space="preserve">: (1) </w:t>
      </w:r>
      <w:proofErr w:type="spellStart"/>
      <w:r w:rsidRPr="00C613CC">
        <w:rPr>
          <w:rFonts w:ascii="Minion Pro" w:hAnsi="Minion Pro" w:cs="Times New Roman"/>
          <w:bCs/>
          <w:sz w:val="24"/>
          <w:szCs w:val="24"/>
          <w:lang w:val="en-US"/>
        </w:rPr>
        <w:t>pengumpulan</w:t>
      </w:r>
      <w:proofErr w:type="spellEnd"/>
      <w:r w:rsidRPr="00C613CC">
        <w:rPr>
          <w:rFonts w:ascii="Minion Pro" w:hAnsi="Minion Pro" w:cs="Times New Roman"/>
          <w:bCs/>
          <w:sz w:val="24"/>
          <w:szCs w:val="24"/>
          <w:lang w:val="en-US"/>
        </w:rPr>
        <w:t xml:space="preserve"> data, (2) </w:t>
      </w:r>
      <w:proofErr w:type="spellStart"/>
      <w:r w:rsidRPr="00C613CC">
        <w:rPr>
          <w:rFonts w:ascii="Minion Pro" w:hAnsi="Minion Pro" w:cs="Times New Roman"/>
          <w:bCs/>
          <w:sz w:val="24"/>
          <w:szCs w:val="24"/>
          <w:lang w:val="en-US"/>
        </w:rPr>
        <w:t>reduksi</w:t>
      </w:r>
      <w:proofErr w:type="spellEnd"/>
      <w:r w:rsidRPr="00C613CC">
        <w:rPr>
          <w:rFonts w:ascii="Minion Pro" w:hAnsi="Minion Pro" w:cs="Times New Roman"/>
          <w:bCs/>
          <w:sz w:val="24"/>
          <w:szCs w:val="24"/>
          <w:lang w:val="en-US"/>
        </w:rPr>
        <w:t xml:space="preserve"> data, (3) </w:t>
      </w:r>
      <w:proofErr w:type="spellStart"/>
      <w:r w:rsidRPr="00C613CC">
        <w:rPr>
          <w:rFonts w:ascii="Minion Pro" w:hAnsi="Minion Pro" w:cs="Times New Roman"/>
          <w:bCs/>
          <w:sz w:val="24"/>
          <w:szCs w:val="24"/>
          <w:lang w:val="en-US"/>
        </w:rPr>
        <w:t>penyajian</w:t>
      </w:r>
      <w:proofErr w:type="spellEnd"/>
      <w:r w:rsidRPr="00C613CC">
        <w:rPr>
          <w:rFonts w:ascii="Minion Pro" w:hAnsi="Minion Pro" w:cs="Times New Roman"/>
          <w:bCs/>
          <w:sz w:val="24"/>
          <w:szCs w:val="24"/>
          <w:lang w:val="en-US"/>
        </w:rPr>
        <w:t xml:space="preserve"> data, dan (4) </w:t>
      </w:r>
      <w:proofErr w:type="spellStart"/>
      <w:r w:rsidRPr="00C613CC">
        <w:rPr>
          <w:rFonts w:ascii="Minion Pro" w:hAnsi="Minion Pro" w:cs="Times New Roman"/>
          <w:bCs/>
          <w:sz w:val="24"/>
          <w:szCs w:val="24"/>
          <w:lang w:val="en-US"/>
        </w:rPr>
        <w:t>penarikan</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kesimpulan</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Empat</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poin</w:t>
      </w:r>
      <w:proofErr w:type="spellEnd"/>
      <w:r w:rsidRPr="00C613CC">
        <w:rPr>
          <w:rFonts w:ascii="Minion Pro" w:hAnsi="Minion Pro" w:cs="Times New Roman"/>
          <w:bCs/>
          <w:sz w:val="24"/>
          <w:szCs w:val="24"/>
          <w:lang w:val="en-US"/>
        </w:rPr>
        <w:t xml:space="preserve"> </w:t>
      </w:r>
      <w:r w:rsidRPr="00C613CC">
        <w:rPr>
          <w:rFonts w:ascii="Minion Pro" w:hAnsi="Minion Pro" w:cs="Times New Roman"/>
          <w:bCs/>
          <w:sz w:val="24"/>
          <w:szCs w:val="24"/>
        </w:rPr>
        <w:t>tahapan</w:t>
      </w:r>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tersebut</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dilakukan</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dalam</w:t>
      </w:r>
      <w:proofErr w:type="spellEnd"/>
      <w:r w:rsidRPr="00C613CC">
        <w:rPr>
          <w:rFonts w:ascii="Minion Pro" w:hAnsi="Minion Pro" w:cs="Times New Roman"/>
          <w:bCs/>
          <w:sz w:val="24"/>
          <w:szCs w:val="24"/>
          <w:lang w:val="en-US"/>
        </w:rPr>
        <w:t xml:space="preserve"> </w:t>
      </w:r>
      <w:r w:rsidRPr="00C613CC">
        <w:rPr>
          <w:rFonts w:ascii="Minion Pro" w:hAnsi="Minion Pro" w:cs="Times New Roman"/>
          <w:bCs/>
          <w:sz w:val="24"/>
          <w:szCs w:val="24"/>
        </w:rPr>
        <w:t>sebuah</w:t>
      </w:r>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pergerakan</w:t>
      </w:r>
      <w:proofErr w:type="spellEnd"/>
      <w:r w:rsidRPr="00C613CC">
        <w:rPr>
          <w:rFonts w:ascii="Minion Pro" w:hAnsi="Minion Pro" w:cs="Times New Roman"/>
          <w:bCs/>
          <w:sz w:val="24"/>
          <w:szCs w:val="24"/>
          <w:lang w:val="en-US"/>
        </w:rPr>
        <w:t xml:space="preserve"> </w:t>
      </w:r>
      <w:r w:rsidRPr="00C613CC">
        <w:rPr>
          <w:rFonts w:ascii="Minion Pro" w:hAnsi="Minion Pro" w:cs="Times New Roman"/>
          <w:bCs/>
          <w:sz w:val="24"/>
          <w:szCs w:val="24"/>
        </w:rPr>
        <w:t xml:space="preserve">yang bersifat </w:t>
      </w:r>
      <w:proofErr w:type="spellStart"/>
      <w:r w:rsidRPr="00C613CC">
        <w:rPr>
          <w:rFonts w:ascii="Minion Pro" w:hAnsi="Minion Pro" w:cs="Times New Roman"/>
          <w:bCs/>
          <w:sz w:val="24"/>
          <w:szCs w:val="24"/>
          <w:lang w:val="en-US"/>
        </w:rPr>
        <w:t>simultan</w:t>
      </w:r>
      <w:proofErr w:type="spellEnd"/>
      <w:r w:rsidRPr="00C613CC">
        <w:rPr>
          <w:rFonts w:ascii="Minion Pro" w:hAnsi="Minion Pro" w:cs="Times New Roman"/>
          <w:bCs/>
          <w:sz w:val="24"/>
          <w:szCs w:val="24"/>
          <w:lang w:val="en-US"/>
        </w:rPr>
        <w:t xml:space="preserve"> dan </w:t>
      </w:r>
      <w:proofErr w:type="spellStart"/>
      <w:r w:rsidRPr="00C613CC">
        <w:rPr>
          <w:rFonts w:ascii="Minion Pro" w:hAnsi="Minion Pro" w:cs="Times New Roman"/>
          <w:bCs/>
          <w:sz w:val="24"/>
          <w:szCs w:val="24"/>
          <w:lang w:val="en-US"/>
        </w:rPr>
        <w:t>berulang-ulang</w:t>
      </w:r>
      <w:proofErr w:type="spellEnd"/>
      <w:r w:rsidRPr="00C613CC">
        <w:rPr>
          <w:rFonts w:ascii="Minion Pro" w:hAnsi="Minion Pro" w:cs="Times New Roman"/>
          <w:bCs/>
          <w:sz w:val="24"/>
          <w:szCs w:val="24"/>
          <w:lang w:val="en-US"/>
        </w:rPr>
        <w:t xml:space="preserve"> (</w:t>
      </w:r>
      <w:r w:rsidRPr="00C613CC">
        <w:rPr>
          <w:rFonts w:ascii="Minion Pro" w:hAnsi="Minion Pro" w:cs="Times New Roman"/>
          <w:bCs/>
          <w:i/>
          <w:iCs/>
          <w:sz w:val="24"/>
          <w:szCs w:val="24"/>
          <w:lang w:val="en-US"/>
        </w:rPr>
        <w:t>cyclical</w:t>
      </w:r>
      <w:r w:rsidRPr="00C613CC">
        <w:rPr>
          <w:rFonts w:ascii="Minion Pro" w:hAnsi="Minion Pro" w:cs="Times New Roman"/>
          <w:bCs/>
          <w:sz w:val="24"/>
          <w:szCs w:val="24"/>
          <w:lang w:val="en-US"/>
        </w:rPr>
        <w:t>).</w:t>
      </w:r>
      <w:r w:rsidRPr="00C613CC">
        <w:rPr>
          <w:rFonts w:ascii="Minion Pro" w:hAnsi="Minion Pro" w:cs="Times New Roman"/>
          <w:bCs/>
          <w:sz w:val="24"/>
          <w:szCs w:val="24"/>
          <w:vertAlign w:val="superscript"/>
          <w:lang w:val="en-US"/>
        </w:rPr>
        <w:footnoteReference w:id="15"/>
      </w:r>
    </w:p>
    <w:p w14:paraId="39B7219C" w14:textId="0BA899AA" w:rsidR="004F1AFD" w:rsidRDefault="004F1AFD" w:rsidP="004F1AFD">
      <w:pPr>
        <w:pStyle w:val="ListParagraph"/>
        <w:spacing w:before="240" w:after="240" w:line="240" w:lineRule="auto"/>
        <w:ind w:left="0"/>
        <w:contextualSpacing w:val="0"/>
        <w:jc w:val="both"/>
        <w:rPr>
          <w:rFonts w:ascii="Minion Pro" w:hAnsi="Minion Pro" w:cs="Times New Roman"/>
          <w:bCs/>
          <w:sz w:val="24"/>
          <w:szCs w:val="24"/>
        </w:rPr>
      </w:pPr>
    </w:p>
    <w:p w14:paraId="6C249D24" w14:textId="59C03986" w:rsidR="00CA60E2" w:rsidRPr="00144842" w:rsidRDefault="00C613CC" w:rsidP="0076479F">
      <w:pPr>
        <w:pStyle w:val="ListParagraph"/>
        <w:numPr>
          <w:ilvl w:val="0"/>
          <w:numId w:val="1"/>
        </w:numPr>
        <w:spacing w:before="240" w:line="240" w:lineRule="auto"/>
        <w:ind w:left="284" w:hanging="284"/>
        <w:jc w:val="both"/>
        <w:rPr>
          <w:rFonts w:ascii="Minion Pro" w:hAnsi="Minion Pro" w:cs="Times New Roman"/>
          <w:b/>
          <w:sz w:val="24"/>
          <w:szCs w:val="24"/>
        </w:rPr>
      </w:pPr>
      <w:r>
        <w:rPr>
          <w:rFonts w:ascii="Minion Pro" w:hAnsi="Minion Pro" w:cs="Times New Roman"/>
          <w:b/>
          <w:sz w:val="24"/>
          <w:szCs w:val="24"/>
          <w:lang w:val="en-US"/>
        </w:rPr>
        <w:t>PERSPEKTIF TEORITIK</w:t>
      </w:r>
    </w:p>
    <w:p w14:paraId="6A80E367" w14:textId="77777777" w:rsidR="00C613CC" w:rsidRPr="00C613CC" w:rsidRDefault="00C613CC" w:rsidP="00C613CC">
      <w:pPr>
        <w:spacing w:line="240" w:lineRule="auto"/>
        <w:jc w:val="both"/>
        <w:rPr>
          <w:rFonts w:ascii="Minion Pro" w:hAnsi="Minion Pro" w:cs="Times New Roman"/>
          <w:bCs/>
          <w:sz w:val="24"/>
          <w:szCs w:val="24"/>
          <w:lang w:val="en-US"/>
        </w:rPr>
      </w:pPr>
      <w:proofErr w:type="spellStart"/>
      <w:r w:rsidRPr="00C613CC">
        <w:rPr>
          <w:rFonts w:ascii="Minion Pro" w:hAnsi="Minion Pro" w:cs="Times New Roman"/>
          <w:bCs/>
          <w:sz w:val="24"/>
          <w:szCs w:val="24"/>
          <w:lang w:val="en-US"/>
        </w:rPr>
        <w:t>Trilogi</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metode</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i/>
          <w:iCs/>
          <w:sz w:val="24"/>
          <w:szCs w:val="24"/>
          <w:lang w:val="en-US"/>
        </w:rPr>
        <w:t>istinbāth</w:t>
      </w:r>
      <w:proofErr w:type="spellEnd"/>
      <w:r w:rsidRPr="00C613CC">
        <w:rPr>
          <w:rFonts w:ascii="Minion Pro" w:hAnsi="Minion Pro" w:cs="Times New Roman"/>
          <w:bCs/>
          <w:sz w:val="24"/>
          <w:szCs w:val="24"/>
          <w:lang w:val="en-US"/>
        </w:rPr>
        <w:t xml:space="preserve"> NU </w:t>
      </w:r>
      <w:proofErr w:type="spellStart"/>
      <w:r w:rsidRPr="00C613CC">
        <w:rPr>
          <w:rFonts w:ascii="Minion Pro" w:hAnsi="Minion Pro" w:cs="Times New Roman"/>
          <w:bCs/>
          <w:sz w:val="24"/>
          <w:szCs w:val="24"/>
          <w:lang w:val="en-US"/>
        </w:rPr>
        <w:t>merupakan</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bagian</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dari</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tradisi</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berpikir</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kiai-kiai</w:t>
      </w:r>
      <w:proofErr w:type="spellEnd"/>
      <w:r w:rsidRPr="00C613CC">
        <w:rPr>
          <w:rFonts w:ascii="Minion Pro" w:hAnsi="Minion Pro" w:cs="Times New Roman"/>
          <w:bCs/>
          <w:sz w:val="24"/>
          <w:szCs w:val="24"/>
          <w:lang w:val="en-US"/>
        </w:rPr>
        <w:t xml:space="preserve"> NU. </w:t>
      </w:r>
      <w:proofErr w:type="spellStart"/>
      <w:r w:rsidRPr="00C613CC">
        <w:rPr>
          <w:rFonts w:ascii="Minion Pro" w:hAnsi="Minion Pro" w:cs="Times New Roman"/>
          <w:bCs/>
          <w:sz w:val="24"/>
          <w:szCs w:val="24"/>
          <w:lang w:val="en-US"/>
        </w:rPr>
        <w:t>Untuk</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bisa</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memahaminya</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secara</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utuh</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setiap</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peneliti</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seharusnya</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bertitik-tolak</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dari</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watak</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epistemologis</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dari</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tradisi</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berpikir</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kiai-kiai</w:t>
      </w:r>
      <w:proofErr w:type="spellEnd"/>
      <w:r w:rsidRPr="00C613CC">
        <w:rPr>
          <w:rFonts w:ascii="Minion Pro" w:hAnsi="Minion Pro" w:cs="Times New Roman"/>
          <w:bCs/>
          <w:sz w:val="24"/>
          <w:szCs w:val="24"/>
          <w:lang w:val="en-US"/>
        </w:rPr>
        <w:t xml:space="preserve"> NU. </w:t>
      </w:r>
      <w:proofErr w:type="spellStart"/>
      <w:r w:rsidRPr="00C613CC">
        <w:rPr>
          <w:rFonts w:ascii="Minion Pro" w:hAnsi="Minion Pro" w:cs="Times New Roman"/>
          <w:bCs/>
          <w:sz w:val="24"/>
          <w:szCs w:val="24"/>
          <w:lang w:val="en-US"/>
        </w:rPr>
        <w:t>Dalam</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konteks</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ini</w:t>
      </w:r>
      <w:proofErr w:type="spellEnd"/>
      <w:r w:rsidRPr="00C613CC">
        <w:rPr>
          <w:rFonts w:ascii="Minion Pro" w:hAnsi="Minion Pro" w:cs="Times New Roman"/>
          <w:bCs/>
          <w:sz w:val="24"/>
          <w:szCs w:val="24"/>
          <w:lang w:val="en-US"/>
        </w:rPr>
        <w:t xml:space="preserve">, Muhammad </w:t>
      </w:r>
      <w:proofErr w:type="spellStart"/>
      <w:r w:rsidRPr="00C613CC">
        <w:rPr>
          <w:rFonts w:ascii="Minion Pro" w:hAnsi="Minion Pro" w:cs="Times New Roman"/>
          <w:bCs/>
          <w:sz w:val="24"/>
          <w:szCs w:val="24"/>
          <w:lang w:val="en-US"/>
        </w:rPr>
        <w:t>Adib</w:t>
      </w:r>
      <w:proofErr w:type="spellEnd"/>
      <w:r w:rsidRPr="00C613CC">
        <w:rPr>
          <w:rFonts w:ascii="Minion Pro" w:hAnsi="Minion Pro" w:cs="Times New Roman"/>
          <w:bCs/>
          <w:sz w:val="24"/>
          <w:szCs w:val="24"/>
          <w:lang w:val="en-US"/>
        </w:rPr>
        <w:t xml:space="preserve"> dan Muhammad </w:t>
      </w:r>
      <w:proofErr w:type="spellStart"/>
      <w:r w:rsidRPr="00C613CC">
        <w:rPr>
          <w:rFonts w:ascii="Minion Pro" w:hAnsi="Minion Pro" w:cs="Times New Roman"/>
          <w:bCs/>
          <w:sz w:val="24"/>
          <w:szCs w:val="24"/>
          <w:lang w:val="en-US"/>
        </w:rPr>
        <w:t>Hasbullah</w:t>
      </w:r>
      <w:proofErr w:type="spellEnd"/>
      <w:r w:rsidRPr="00C613CC">
        <w:rPr>
          <w:rFonts w:ascii="Minion Pro" w:hAnsi="Minion Pro" w:cs="Times New Roman"/>
          <w:bCs/>
          <w:sz w:val="24"/>
          <w:szCs w:val="24"/>
          <w:lang w:val="en-US"/>
        </w:rPr>
        <w:t xml:space="preserve"> Huda (2020) </w:t>
      </w:r>
      <w:proofErr w:type="spellStart"/>
      <w:r w:rsidRPr="00C613CC">
        <w:rPr>
          <w:rFonts w:ascii="Minion Pro" w:hAnsi="Minion Pro" w:cs="Times New Roman"/>
          <w:bCs/>
          <w:sz w:val="24"/>
          <w:szCs w:val="24"/>
          <w:lang w:val="en-US"/>
        </w:rPr>
        <w:t>menegaskan</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adanya</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fleksibilitas</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kognitif</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dalam</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struktur</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berpikir</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kiai-kiai</w:t>
      </w:r>
      <w:proofErr w:type="spellEnd"/>
      <w:r w:rsidRPr="00C613CC">
        <w:rPr>
          <w:rFonts w:ascii="Minion Pro" w:hAnsi="Minion Pro" w:cs="Times New Roman"/>
          <w:bCs/>
          <w:sz w:val="24"/>
          <w:szCs w:val="24"/>
          <w:lang w:val="en-US"/>
        </w:rPr>
        <w:t xml:space="preserve"> NU, </w:t>
      </w:r>
      <w:proofErr w:type="spellStart"/>
      <w:r w:rsidRPr="00C613CC">
        <w:rPr>
          <w:rFonts w:ascii="Minion Pro" w:hAnsi="Minion Pro" w:cs="Times New Roman"/>
          <w:bCs/>
          <w:sz w:val="24"/>
          <w:szCs w:val="24"/>
          <w:lang w:val="en-US"/>
        </w:rPr>
        <w:t>khususnya</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dalam</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Bahtsul</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Masail</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Fleksibilitas</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kognitif</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tersebut</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berjangkar</w:t>
      </w:r>
      <w:proofErr w:type="spellEnd"/>
      <w:r w:rsidRPr="00C613CC">
        <w:rPr>
          <w:rFonts w:ascii="Minion Pro" w:hAnsi="Minion Pro" w:cs="Times New Roman"/>
          <w:bCs/>
          <w:sz w:val="24"/>
          <w:szCs w:val="24"/>
          <w:lang w:val="en-US"/>
        </w:rPr>
        <w:t xml:space="preserve"> pada </w:t>
      </w:r>
      <w:proofErr w:type="spellStart"/>
      <w:r w:rsidRPr="00C613CC">
        <w:rPr>
          <w:rFonts w:ascii="Minion Pro" w:hAnsi="Minion Pro" w:cs="Times New Roman"/>
          <w:bCs/>
          <w:sz w:val="24"/>
          <w:szCs w:val="24"/>
          <w:lang w:val="en-US"/>
        </w:rPr>
        <w:t>Aswaja</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sebagai</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nalar</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keagamaan</w:t>
      </w:r>
      <w:proofErr w:type="spellEnd"/>
      <w:r w:rsidRPr="00C613CC">
        <w:rPr>
          <w:rFonts w:ascii="Minion Pro" w:hAnsi="Minion Pro" w:cs="Times New Roman"/>
          <w:bCs/>
          <w:sz w:val="24"/>
          <w:szCs w:val="24"/>
          <w:lang w:val="en-US"/>
        </w:rPr>
        <w:t xml:space="preserve"> NU. </w:t>
      </w:r>
      <w:proofErr w:type="spellStart"/>
      <w:r w:rsidRPr="00C613CC">
        <w:rPr>
          <w:rFonts w:ascii="Minion Pro" w:hAnsi="Minion Pro" w:cs="Times New Roman"/>
          <w:bCs/>
          <w:sz w:val="24"/>
          <w:szCs w:val="24"/>
          <w:lang w:val="en-US"/>
        </w:rPr>
        <w:t>Gerak</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dialektis</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antara</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konservasi</w:t>
      </w:r>
      <w:proofErr w:type="spellEnd"/>
      <w:r w:rsidRPr="00C613CC">
        <w:rPr>
          <w:rFonts w:ascii="Minion Pro" w:hAnsi="Minion Pro" w:cs="Times New Roman"/>
          <w:bCs/>
          <w:sz w:val="24"/>
          <w:szCs w:val="24"/>
          <w:lang w:val="en-US"/>
        </w:rPr>
        <w:t xml:space="preserve"> (</w:t>
      </w:r>
      <w:r w:rsidRPr="00C613CC">
        <w:rPr>
          <w:rFonts w:ascii="Minion Pro" w:hAnsi="Minion Pro" w:cs="Times New Roman"/>
          <w:bCs/>
          <w:i/>
          <w:iCs/>
          <w:sz w:val="24"/>
          <w:szCs w:val="24"/>
          <w:lang w:val="en-US"/>
        </w:rPr>
        <w:t>al-</w:t>
      </w:r>
      <w:proofErr w:type="spellStart"/>
      <w:r w:rsidRPr="00C613CC">
        <w:rPr>
          <w:rFonts w:ascii="Minion Pro" w:hAnsi="Minion Pro" w:cs="Times New Roman"/>
          <w:bCs/>
          <w:i/>
          <w:iCs/>
          <w:sz w:val="24"/>
          <w:szCs w:val="24"/>
          <w:lang w:val="en-US"/>
        </w:rPr>
        <w:t>muhāfazhah</w:t>
      </w:r>
      <w:proofErr w:type="spellEnd"/>
      <w:r w:rsidRPr="00C613CC">
        <w:rPr>
          <w:rFonts w:ascii="Minion Pro" w:hAnsi="Minion Pro" w:cs="Times New Roman"/>
          <w:bCs/>
          <w:sz w:val="24"/>
          <w:szCs w:val="24"/>
          <w:lang w:val="en-US"/>
        </w:rPr>
        <w:t xml:space="preserve">) dan </w:t>
      </w:r>
      <w:proofErr w:type="spellStart"/>
      <w:r w:rsidRPr="00C613CC">
        <w:rPr>
          <w:rFonts w:ascii="Minion Pro" w:hAnsi="Minion Pro" w:cs="Times New Roman"/>
          <w:bCs/>
          <w:sz w:val="24"/>
          <w:szCs w:val="24"/>
          <w:lang w:val="en-US"/>
        </w:rPr>
        <w:t>dinamisasi</w:t>
      </w:r>
      <w:proofErr w:type="spellEnd"/>
      <w:r w:rsidRPr="00C613CC">
        <w:rPr>
          <w:rFonts w:ascii="Minion Pro" w:hAnsi="Minion Pro" w:cs="Times New Roman"/>
          <w:bCs/>
          <w:sz w:val="24"/>
          <w:szCs w:val="24"/>
          <w:lang w:val="en-US"/>
        </w:rPr>
        <w:t xml:space="preserve"> (</w:t>
      </w:r>
      <w:r w:rsidRPr="00C613CC">
        <w:rPr>
          <w:rFonts w:ascii="Minion Pro" w:hAnsi="Minion Pro" w:cs="Times New Roman"/>
          <w:bCs/>
          <w:i/>
          <w:iCs/>
          <w:sz w:val="24"/>
          <w:szCs w:val="24"/>
          <w:lang w:val="en-US"/>
        </w:rPr>
        <w:t>al-</w:t>
      </w:r>
      <w:proofErr w:type="spellStart"/>
      <w:r w:rsidRPr="00C613CC">
        <w:rPr>
          <w:rFonts w:ascii="Minion Pro" w:hAnsi="Minion Pro" w:cs="Times New Roman"/>
          <w:bCs/>
          <w:i/>
          <w:iCs/>
          <w:sz w:val="24"/>
          <w:szCs w:val="24"/>
          <w:lang w:val="en-US"/>
        </w:rPr>
        <w:t>akhdz</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dalam</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struktur</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berpikir</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kiai-kiai</w:t>
      </w:r>
      <w:proofErr w:type="spellEnd"/>
      <w:r w:rsidRPr="00C613CC">
        <w:rPr>
          <w:rFonts w:ascii="Minion Pro" w:hAnsi="Minion Pro" w:cs="Times New Roman"/>
          <w:bCs/>
          <w:sz w:val="24"/>
          <w:szCs w:val="24"/>
          <w:lang w:val="en-US"/>
        </w:rPr>
        <w:t xml:space="preserve"> NU </w:t>
      </w:r>
      <w:proofErr w:type="spellStart"/>
      <w:r w:rsidRPr="00C613CC">
        <w:rPr>
          <w:rFonts w:ascii="Minion Pro" w:hAnsi="Minion Pro" w:cs="Times New Roman"/>
          <w:bCs/>
          <w:sz w:val="24"/>
          <w:szCs w:val="24"/>
          <w:lang w:val="en-US"/>
        </w:rPr>
        <w:t>bermuara</w:t>
      </w:r>
      <w:proofErr w:type="spellEnd"/>
      <w:r w:rsidRPr="00C613CC">
        <w:rPr>
          <w:rFonts w:ascii="Minion Pro" w:hAnsi="Minion Pro" w:cs="Times New Roman"/>
          <w:bCs/>
          <w:sz w:val="24"/>
          <w:szCs w:val="24"/>
          <w:lang w:val="en-US"/>
        </w:rPr>
        <w:t xml:space="preserve"> pada </w:t>
      </w:r>
      <w:proofErr w:type="spellStart"/>
      <w:r w:rsidRPr="00C613CC">
        <w:rPr>
          <w:rFonts w:ascii="Minion Pro" w:hAnsi="Minion Pro" w:cs="Times New Roman"/>
          <w:bCs/>
          <w:sz w:val="24"/>
          <w:szCs w:val="24"/>
          <w:lang w:val="en-US"/>
        </w:rPr>
        <w:t>karakteristik</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ber</w:t>
      </w:r>
      <w:r w:rsidRPr="00C613CC">
        <w:rPr>
          <w:rFonts w:ascii="Minion Pro" w:hAnsi="Minion Pro" w:cs="Times New Roman"/>
          <w:bCs/>
          <w:sz w:val="24"/>
          <w:szCs w:val="24"/>
          <w:lang w:val="en-US"/>
        </w:rPr>
        <w:lastRenderedPageBreak/>
        <w:t>pikir</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moderat</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i/>
          <w:iCs/>
          <w:sz w:val="24"/>
          <w:szCs w:val="24"/>
          <w:lang w:val="en-US"/>
        </w:rPr>
        <w:t>tawassuth</w:t>
      </w:r>
      <w:proofErr w:type="spellEnd"/>
      <w:r w:rsidRPr="00C613CC">
        <w:rPr>
          <w:rFonts w:ascii="Minion Pro" w:hAnsi="Minion Pro" w:cs="Times New Roman"/>
          <w:bCs/>
          <w:sz w:val="24"/>
          <w:szCs w:val="24"/>
          <w:lang w:val="en-US"/>
        </w:rPr>
        <w:t xml:space="preserve">) yang </w:t>
      </w:r>
      <w:proofErr w:type="spellStart"/>
      <w:r w:rsidRPr="00C613CC">
        <w:rPr>
          <w:rFonts w:ascii="Minion Pro" w:hAnsi="Minion Pro" w:cs="Times New Roman"/>
          <w:bCs/>
          <w:sz w:val="24"/>
          <w:szCs w:val="24"/>
          <w:lang w:val="en-US"/>
        </w:rPr>
        <w:t>disebutkan</w:t>
      </w:r>
      <w:proofErr w:type="spellEnd"/>
      <w:r w:rsidRPr="00C613CC">
        <w:rPr>
          <w:rFonts w:ascii="Minion Pro" w:hAnsi="Minion Pro" w:cs="Times New Roman"/>
          <w:bCs/>
          <w:sz w:val="24"/>
          <w:szCs w:val="24"/>
          <w:lang w:val="en-US"/>
        </w:rPr>
        <w:t xml:space="preserve"> oleh Greg </w:t>
      </w:r>
      <w:proofErr w:type="spellStart"/>
      <w:r w:rsidRPr="00C613CC">
        <w:rPr>
          <w:rFonts w:ascii="Minion Pro" w:hAnsi="Minion Pro" w:cs="Times New Roman"/>
          <w:bCs/>
          <w:sz w:val="24"/>
          <w:szCs w:val="24"/>
          <w:lang w:val="en-US"/>
        </w:rPr>
        <w:t>Fealy</w:t>
      </w:r>
      <w:proofErr w:type="spellEnd"/>
      <w:r w:rsidRPr="00C613CC">
        <w:rPr>
          <w:rFonts w:ascii="Minion Pro" w:hAnsi="Minion Pro" w:cs="Times New Roman"/>
          <w:bCs/>
          <w:sz w:val="24"/>
          <w:szCs w:val="24"/>
          <w:lang w:val="en-US"/>
        </w:rPr>
        <w:t xml:space="preserve"> (1998) </w:t>
      </w:r>
      <w:proofErr w:type="spellStart"/>
      <w:r w:rsidRPr="00C613CC">
        <w:rPr>
          <w:rFonts w:ascii="Minion Pro" w:hAnsi="Minion Pro" w:cs="Times New Roman"/>
          <w:bCs/>
          <w:sz w:val="24"/>
          <w:szCs w:val="24"/>
          <w:lang w:val="en-US"/>
        </w:rPr>
        <w:t>dengan</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istilah</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keluwesan</w:t>
      </w:r>
      <w:proofErr w:type="spellEnd"/>
      <w:r w:rsidRPr="00C613CC">
        <w:rPr>
          <w:rFonts w:ascii="Minion Pro" w:hAnsi="Minion Pro" w:cs="Times New Roman"/>
          <w:bCs/>
          <w:sz w:val="24"/>
          <w:szCs w:val="24"/>
          <w:lang w:val="en-US"/>
        </w:rPr>
        <w:t xml:space="preserve"> (</w:t>
      </w:r>
      <w:r w:rsidRPr="00C613CC">
        <w:rPr>
          <w:rFonts w:ascii="Minion Pro" w:hAnsi="Minion Pro" w:cs="Times New Roman"/>
          <w:bCs/>
          <w:i/>
          <w:iCs/>
          <w:sz w:val="24"/>
          <w:szCs w:val="24"/>
          <w:lang w:val="en-US"/>
        </w:rPr>
        <w:t>flexibility</w:t>
      </w:r>
      <w:r w:rsidRPr="00C613CC">
        <w:rPr>
          <w:rFonts w:ascii="Minion Pro" w:hAnsi="Minion Pro" w:cs="Times New Roman"/>
          <w:bCs/>
          <w:sz w:val="24"/>
          <w:szCs w:val="24"/>
          <w:lang w:val="en-US"/>
        </w:rPr>
        <w:t>).</w:t>
      </w:r>
      <w:r w:rsidRPr="00C613CC">
        <w:rPr>
          <w:rFonts w:ascii="Minion Pro" w:hAnsi="Minion Pro" w:cs="Times New Roman"/>
          <w:bCs/>
          <w:sz w:val="24"/>
          <w:szCs w:val="24"/>
          <w:vertAlign w:val="superscript"/>
          <w:lang w:val="en-US"/>
        </w:rPr>
        <w:footnoteReference w:id="16"/>
      </w:r>
    </w:p>
    <w:p w14:paraId="061447AA" w14:textId="5A5AA312" w:rsidR="00C613CC" w:rsidRDefault="00C613CC" w:rsidP="00C613CC">
      <w:pPr>
        <w:spacing w:line="240" w:lineRule="auto"/>
        <w:jc w:val="both"/>
        <w:rPr>
          <w:rFonts w:ascii="Minion Pro" w:hAnsi="Minion Pro" w:cs="Times New Roman"/>
          <w:bCs/>
          <w:sz w:val="24"/>
          <w:szCs w:val="24"/>
        </w:rPr>
      </w:pPr>
      <w:proofErr w:type="spellStart"/>
      <w:r w:rsidRPr="00C613CC">
        <w:rPr>
          <w:rFonts w:ascii="Minion Pro" w:hAnsi="Minion Pro" w:cs="Times New Roman"/>
          <w:bCs/>
          <w:sz w:val="24"/>
          <w:szCs w:val="24"/>
          <w:lang w:val="en-US"/>
        </w:rPr>
        <w:t>Pembacaan</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terhadap</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trilogi</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metode</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i/>
          <w:iCs/>
          <w:sz w:val="24"/>
          <w:szCs w:val="24"/>
          <w:lang w:val="en-US"/>
        </w:rPr>
        <w:t>istinbāth</w:t>
      </w:r>
      <w:proofErr w:type="spellEnd"/>
      <w:r w:rsidRPr="00C613CC">
        <w:rPr>
          <w:rFonts w:ascii="Minion Pro" w:hAnsi="Minion Pro" w:cs="Times New Roman"/>
          <w:bCs/>
          <w:sz w:val="24"/>
          <w:szCs w:val="24"/>
          <w:lang w:val="en-US"/>
        </w:rPr>
        <w:t xml:space="preserve"> NU juga </w:t>
      </w:r>
      <w:proofErr w:type="spellStart"/>
      <w:r w:rsidRPr="00C613CC">
        <w:rPr>
          <w:rFonts w:ascii="Minion Pro" w:hAnsi="Minion Pro" w:cs="Times New Roman"/>
          <w:bCs/>
          <w:sz w:val="24"/>
          <w:szCs w:val="24"/>
          <w:lang w:val="en-US"/>
        </w:rPr>
        <w:t>meniscayakan</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keterpaduan</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antara</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teks</w:t>
      </w:r>
      <w:proofErr w:type="spellEnd"/>
      <w:r w:rsidRPr="00C613CC">
        <w:rPr>
          <w:rFonts w:ascii="Minion Pro" w:hAnsi="Minion Pro" w:cs="Times New Roman"/>
          <w:bCs/>
          <w:sz w:val="24"/>
          <w:szCs w:val="24"/>
          <w:lang w:val="en-US"/>
        </w:rPr>
        <w:t xml:space="preserve"> dan </w:t>
      </w:r>
      <w:proofErr w:type="spellStart"/>
      <w:r w:rsidRPr="00C613CC">
        <w:rPr>
          <w:rFonts w:ascii="Minion Pro" w:hAnsi="Minion Pro" w:cs="Times New Roman"/>
          <w:bCs/>
          <w:sz w:val="24"/>
          <w:szCs w:val="24"/>
          <w:lang w:val="en-US"/>
        </w:rPr>
        <w:t>konteks</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Dalam</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perspektif</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strukturalis</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teks</w:t>
      </w:r>
      <w:proofErr w:type="spellEnd"/>
      <w:r w:rsidRPr="00C613CC">
        <w:rPr>
          <w:rFonts w:ascii="Minion Pro" w:hAnsi="Minion Pro" w:cs="Times New Roman"/>
          <w:bCs/>
          <w:sz w:val="24"/>
          <w:szCs w:val="24"/>
          <w:lang w:val="en-US"/>
        </w:rPr>
        <w:t xml:space="preserve"> dan </w:t>
      </w:r>
      <w:proofErr w:type="spellStart"/>
      <w:r w:rsidRPr="00C613CC">
        <w:rPr>
          <w:rFonts w:ascii="Minion Pro" w:hAnsi="Minion Pro" w:cs="Times New Roman"/>
          <w:bCs/>
          <w:sz w:val="24"/>
          <w:szCs w:val="24"/>
          <w:lang w:val="en-US"/>
        </w:rPr>
        <w:t>konteks</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adalah</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dua</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fenomena</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dalam</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satu</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struktur</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sehingga</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sama</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sekali</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tidak</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bisa</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dipisahkan</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Bahkan</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teks</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tidak</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bisa</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dipahami</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tanpa</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melibatkan</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konteks</w:t>
      </w:r>
      <w:proofErr w:type="spellEnd"/>
      <w:r w:rsidRPr="00C613CC">
        <w:rPr>
          <w:rFonts w:ascii="Minion Pro" w:hAnsi="Minion Pro" w:cs="Times New Roman"/>
          <w:bCs/>
          <w:sz w:val="24"/>
          <w:szCs w:val="24"/>
          <w:lang w:val="en-US"/>
        </w:rPr>
        <w:t xml:space="preserve"> yang </w:t>
      </w:r>
      <w:proofErr w:type="spellStart"/>
      <w:r w:rsidRPr="00C613CC">
        <w:rPr>
          <w:rFonts w:ascii="Minion Pro" w:hAnsi="Minion Pro" w:cs="Times New Roman"/>
          <w:bCs/>
          <w:sz w:val="24"/>
          <w:szCs w:val="24"/>
          <w:lang w:val="en-US"/>
        </w:rPr>
        <w:t>mengitarinya</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Meminjam</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skema</w:t>
      </w:r>
      <w:proofErr w:type="spellEnd"/>
      <w:r w:rsidRPr="00C613CC">
        <w:rPr>
          <w:rFonts w:ascii="Minion Pro" w:hAnsi="Minion Pro" w:cs="Times New Roman"/>
          <w:bCs/>
          <w:sz w:val="24"/>
          <w:szCs w:val="24"/>
          <w:lang w:val="en-US"/>
        </w:rPr>
        <w:t xml:space="preserve"> </w:t>
      </w:r>
      <w:r w:rsidRPr="00C613CC">
        <w:rPr>
          <w:rFonts w:ascii="Minion Pro" w:hAnsi="Minion Pro" w:cs="Times New Roman"/>
          <w:bCs/>
          <w:sz w:val="24"/>
          <w:szCs w:val="24"/>
          <w:lang w:val="pl-PL"/>
        </w:rPr>
        <w:t xml:space="preserve">‘Alī </w:t>
      </w:r>
      <w:r w:rsidRPr="00C613CC">
        <w:rPr>
          <w:rFonts w:ascii="Cambria" w:hAnsi="Cambria" w:cs="Cambria"/>
          <w:bCs/>
          <w:sz w:val="24"/>
          <w:szCs w:val="24"/>
          <w:lang w:val="pl-PL"/>
        </w:rPr>
        <w:t>Ḥ</w:t>
      </w:r>
      <w:r w:rsidRPr="00C613CC">
        <w:rPr>
          <w:rFonts w:ascii="Minion Pro" w:hAnsi="Minion Pro" w:cs="Times New Roman"/>
          <w:bCs/>
          <w:sz w:val="24"/>
          <w:szCs w:val="24"/>
          <w:lang w:val="pl-PL"/>
        </w:rPr>
        <w:t xml:space="preserve">arb (1993), teks fatwa hasil Bahtsul Masail </w:t>
      </w:r>
      <w:proofErr w:type="gramStart"/>
      <w:r w:rsidRPr="00C613CC">
        <w:rPr>
          <w:rFonts w:ascii="Minion Pro" w:hAnsi="Minion Pro" w:cs="Times New Roman"/>
          <w:bCs/>
          <w:sz w:val="24"/>
          <w:szCs w:val="24"/>
          <w:lang w:val="pl-PL"/>
        </w:rPr>
        <w:t>adalah  “</w:t>
      </w:r>
      <w:proofErr w:type="gramEnd"/>
      <w:r w:rsidRPr="00C613CC">
        <w:rPr>
          <w:rFonts w:ascii="Minion Pro" w:hAnsi="Minion Pro" w:cs="Times New Roman"/>
          <w:bCs/>
          <w:sz w:val="24"/>
          <w:szCs w:val="24"/>
          <w:lang w:val="pl-PL"/>
        </w:rPr>
        <w:t>narasi permukaan” yang tidak selalu bisa</w:t>
      </w:r>
      <w:r w:rsidRPr="00C613CC">
        <w:rPr>
          <w:rFonts w:ascii="Minion Pro" w:hAnsi="Minion Pro" w:cs="Times New Roman"/>
          <w:bCs/>
          <w:sz w:val="24"/>
          <w:szCs w:val="24"/>
        </w:rPr>
        <w:t xml:space="preserve"> merefleksikan “fakta sebenarnya” (</w:t>
      </w:r>
      <w:r w:rsidRPr="00C613CC">
        <w:rPr>
          <w:rFonts w:ascii="Minion Pro" w:hAnsi="Minion Pro" w:cs="Times New Roman"/>
          <w:bCs/>
          <w:i/>
          <w:iCs/>
          <w:sz w:val="24"/>
          <w:szCs w:val="24"/>
          <w:lang w:val="en-US"/>
        </w:rPr>
        <w:t>h</w:t>
      </w:r>
      <w:r w:rsidRPr="00C613CC">
        <w:rPr>
          <w:rFonts w:ascii="Minion Pro" w:hAnsi="Minion Pro" w:cs="Times New Roman"/>
          <w:bCs/>
          <w:i/>
          <w:iCs/>
          <w:sz w:val="24"/>
          <w:szCs w:val="24"/>
        </w:rPr>
        <w:t>aqīqah</w:t>
      </w:r>
      <w:r w:rsidRPr="00C613CC">
        <w:rPr>
          <w:rFonts w:ascii="Minion Pro" w:hAnsi="Minion Pro" w:cs="Times New Roman"/>
          <w:bCs/>
          <w:sz w:val="24"/>
          <w:szCs w:val="24"/>
        </w:rPr>
        <w:t xml:space="preserve">) yang ada di baliknya. Pembacaan </w:t>
      </w:r>
      <w:proofErr w:type="spellStart"/>
      <w:r w:rsidRPr="00C613CC">
        <w:rPr>
          <w:rFonts w:ascii="Minion Pro" w:hAnsi="Minion Pro" w:cs="Times New Roman"/>
          <w:bCs/>
          <w:sz w:val="24"/>
          <w:szCs w:val="24"/>
          <w:lang w:val="en-US"/>
        </w:rPr>
        <w:t>terhadap</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teks</w:t>
      </w:r>
      <w:proofErr w:type="spellEnd"/>
      <w:r w:rsidRPr="00C613CC">
        <w:rPr>
          <w:rFonts w:ascii="Minion Pro" w:hAnsi="Minion Pro" w:cs="Times New Roman"/>
          <w:bCs/>
          <w:sz w:val="24"/>
          <w:szCs w:val="24"/>
          <w:lang w:val="en-US"/>
        </w:rPr>
        <w:t xml:space="preserve"> </w:t>
      </w:r>
      <w:r w:rsidRPr="00C613CC">
        <w:rPr>
          <w:rFonts w:ascii="Minion Pro" w:hAnsi="Minion Pro" w:cs="Times New Roman"/>
          <w:bCs/>
          <w:sz w:val="24"/>
          <w:szCs w:val="24"/>
        </w:rPr>
        <w:t>harus melibatkan “realitas yang tak terbaca” (</w:t>
      </w:r>
      <w:r w:rsidRPr="00C613CC">
        <w:rPr>
          <w:rFonts w:ascii="Minion Pro" w:hAnsi="Minion Pro" w:cs="Times New Roman"/>
          <w:bCs/>
          <w:i/>
          <w:iCs/>
          <w:sz w:val="24"/>
          <w:szCs w:val="24"/>
        </w:rPr>
        <w:t>mā lam yuqra</w:t>
      </w:r>
      <w:r w:rsidRPr="00C613CC">
        <w:rPr>
          <w:rFonts w:ascii="Minion Pro" w:hAnsi="Minion Pro" w:cs="Times New Roman"/>
          <w:bCs/>
          <w:sz w:val="24"/>
          <w:szCs w:val="24"/>
        </w:rPr>
        <w:t>’), yakni struktur terdalam dari teks. “Fakta sebenarnya” (</w:t>
      </w:r>
      <w:r w:rsidRPr="00C613CC">
        <w:rPr>
          <w:rFonts w:ascii="Cambria" w:hAnsi="Cambria" w:cs="Cambria"/>
          <w:bCs/>
          <w:i/>
          <w:iCs/>
          <w:sz w:val="24"/>
          <w:szCs w:val="24"/>
        </w:rPr>
        <w:t>ḥ</w:t>
      </w:r>
      <w:r w:rsidRPr="00C613CC">
        <w:rPr>
          <w:rFonts w:ascii="Minion Pro" w:hAnsi="Minion Pro" w:cs="Times New Roman"/>
          <w:bCs/>
          <w:i/>
          <w:iCs/>
          <w:sz w:val="24"/>
          <w:szCs w:val="24"/>
        </w:rPr>
        <w:t>aqīqah</w:t>
      </w:r>
      <w:r w:rsidRPr="00C613CC">
        <w:rPr>
          <w:rFonts w:ascii="Minion Pro" w:hAnsi="Minion Pro" w:cs="Times New Roman"/>
          <w:bCs/>
          <w:sz w:val="24"/>
          <w:szCs w:val="24"/>
        </w:rPr>
        <w:t>) dari teks justru bisa dibaca dari realitas yang hidup di balik teks (</w:t>
      </w:r>
      <w:r w:rsidRPr="00C613CC">
        <w:rPr>
          <w:rFonts w:ascii="Minion Pro" w:hAnsi="Minion Pro" w:cs="Times New Roman"/>
          <w:bCs/>
          <w:i/>
          <w:iCs/>
          <w:sz w:val="24"/>
          <w:szCs w:val="24"/>
        </w:rPr>
        <w:t>mā khalf as-su</w:t>
      </w:r>
      <w:r w:rsidRPr="00C613CC">
        <w:rPr>
          <w:rFonts w:ascii="Cambria" w:hAnsi="Cambria" w:cs="Cambria"/>
          <w:bCs/>
          <w:i/>
          <w:iCs/>
          <w:sz w:val="24"/>
          <w:szCs w:val="24"/>
        </w:rPr>
        <w:t>ṭ</w:t>
      </w:r>
      <w:r w:rsidRPr="00C613CC">
        <w:rPr>
          <w:rFonts w:ascii="Minion Pro" w:hAnsi="Minion Pro" w:cs="Times New Roman"/>
          <w:bCs/>
          <w:i/>
          <w:iCs/>
          <w:sz w:val="24"/>
          <w:szCs w:val="24"/>
        </w:rPr>
        <w:t>ūr</w:t>
      </w:r>
      <w:r w:rsidRPr="00C613CC">
        <w:rPr>
          <w:rFonts w:ascii="Minion Pro" w:hAnsi="Minion Pro" w:cs="Times New Roman"/>
          <w:bCs/>
          <w:sz w:val="24"/>
          <w:szCs w:val="24"/>
        </w:rPr>
        <w:t>) namun sebetulnya tidak berada jauh di luar teks, yakni struktur berpikir dan konteks yang mengitarinya.</w:t>
      </w:r>
      <w:r w:rsidRPr="00C613CC">
        <w:rPr>
          <w:rFonts w:ascii="Minion Pro" w:hAnsi="Minion Pro" w:cs="Times New Roman"/>
          <w:bCs/>
          <w:sz w:val="24"/>
          <w:szCs w:val="24"/>
          <w:vertAlign w:val="superscript"/>
        </w:rPr>
        <w:footnoteReference w:id="17"/>
      </w:r>
    </w:p>
    <w:p w14:paraId="622ED044" w14:textId="77777777" w:rsidR="00C613CC" w:rsidRDefault="00C613CC" w:rsidP="00C613CC">
      <w:pPr>
        <w:spacing w:line="240" w:lineRule="auto"/>
        <w:jc w:val="both"/>
        <w:rPr>
          <w:rFonts w:ascii="Minion Pro" w:hAnsi="Minion Pro" w:cs="Times New Roman"/>
          <w:bCs/>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821792" w:rsidRPr="00821792" w14:paraId="31F08A9A" w14:textId="77777777" w:rsidTr="00821792">
        <w:trPr>
          <w:tblCellSpacing w:w="15" w:type="dxa"/>
        </w:trPr>
        <w:tc>
          <w:tcPr>
            <w:tcW w:w="0" w:type="auto"/>
            <w:vAlign w:val="center"/>
            <w:hideMark/>
          </w:tcPr>
          <w:p w14:paraId="2CF7C86B" w14:textId="77A8C566" w:rsidR="00821792" w:rsidRPr="00821792" w:rsidRDefault="00821792" w:rsidP="0062634B">
            <w:pPr>
              <w:tabs>
                <w:tab w:val="left" w:pos="540"/>
              </w:tabs>
              <w:spacing w:line="240" w:lineRule="auto"/>
              <w:jc w:val="both"/>
              <w:rPr>
                <w:rFonts w:ascii="Minion Pro" w:hAnsi="Minion Pro" w:cs="Times New Roman"/>
                <w:bCs/>
                <w:sz w:val="24"/>
                <w:szCs w:val="24"/>
              </w:rPr>
            </w:pPr>
          </w:p>
        </w:tc>
        <w:tc>
          <w:tcPr>
            <w:tcW w:w="0" w:type="auto"/>
            <w:vAlign w:val="center"/>
            <w:hideMark/>
          </w:tcPr>
          <w:p w14:paraId="38D080F8" w14:textId="77777777" w:rsidR="00821792" w:rsidRPr="00821792" w:rsidRDefault="00821792" w:rsidP="00821792">
            <w:pPr>
              <w:tabs>
                <w:tab w:val="left" w:pos="540"/>
              </w:tabs>
              <w:spacing w:line="240" w:lineRule="auto"/>
              <w:jc w:val="both"/>
              <w:rPr>
                <w:rFonts w:ascii="Minion Pro" w:hAnsi="Minion Pro" w:cs="Times New Roman"/>
                <w:bCs/>
                <w:sz w:val="24"/>
                <w:szCs w:val="24"/>
              </w:rPr>
            </w:pPr>
          </w:p>
        </w:tc>
      </w:tr>
    </w:tbl>
    <w:p w14:paraId="013B51B4" w14:textId="44AE2A8C" w:rsidR="0062634B" w:rsidRPr="00C613CC" w:rsidRDefault="00C613CC" w:rsidP="00C613CC">
      <w:pPr>
        <w:pStyle w:val="ListParagraph"/>
        <w:numPr>
          <w:ilvl w:val="0"/>
          <w:numId w:val="1"/>
        </w:numPr>
        <w:spacing w:line="240" w:lineRule="auto"/>
        <w:ind w:left="426" w:hanging="426"/>
        <w:jc w:val="both"/>
        <w:rPr>
          <w:rFonts w:ascii="Minion Pro" w:hAnsi="Minion Pro" w:cs="Times New Roman"/>
          <w:b/>
          <w:iCs/>
          <w:sz w:val="24"/>
          <w:szCs w:val="24"/>
        </w:rPr>
      </w:pPr>
      <w:r w:rsidRPr="00C613CC">
        <w:rPr>
          <w:rFonts w:ascii="Minion Pro" w:hAnsi="Minion Pro" w:cs="Times New Roman"/>
          <w:b/>
          <w:sz w:val="24"/>
          <w:szCs w:val="24"/>
          <w:lang w:val="en-US"/>
        </w:rPr>
        <w:t>KRONOLOGI</w:t>
      </w:r>
      <w:r w:rsidRPr="00C613CC">
        <w:rPr>
          <w:rFonts w:ascii="Minion Pro" w:hAnsi="Minion Pro" w:cs="Times New Roman"/>
          <w:b/>
          <w:bCs/>
          <w:sz w:val="24"/>
          <w:szCs w:val="24"/>
          <w:lang w:val="en-US"/>
        </w:rPr>
        <w:t xml:space="preserve"> KELAHIRAN</w:t>
      </w:r>
      <w:r w:rsidRPr="00C613CC">
        <w:rPr>
          <w:rFonts w:ascii="Minion Pro" w:hAnsi="Minion Pro" w:cs="Times New Roman"/>
          <w:b/>
          <w:sz w:val="24"/>
          <w:szCs w:val="24"/>
          <w:lang w:val="en-US"/>
        </w:rPr>
        <w:t xml:space="preserve"> </w:t>
      </w:r>
    </w:p>
    <w:p w14:paraId="3478B63B" w14:textId="41EDD13D" w:rsidR="00C613CC" w:rsidRPr="00C613CC" w:rsidRDefault="00C613CC" w:rsidP="00C613CC">
      <w:pPr>
        <w:spacing w:line="240" w:lineRule="auto"/>
        <w:jc w:val="both"/>
        <w:rPr>
          <w:rFonts w:ascii="Minion Pro" w:hAnsi="Minion Pro" w:cs="Times New Roman"/>
          <w:bCs/>
          <w:iCs/>
          <w:sz w:val="24"/>
          <w:szCs w:val="24"/>
        </w:rPr>
      </w:pPr>
      <w:r w:rsidRPr="00C613CC">
        <w:rPr>
          <w:rFonts w:ascii="Minion Pro" w:hAnsi="Minion Pro" w:cs="Times New Roman"/>
          <w:bCs/>
          <w:iCs/>
          <w:sz w:val="24"/>
          <w:szCs w:val="24"/>
        </w:rPr>
        <w:t>Melalui Bahtsul Masail edisi tahun 1992, kerangka metodologis istinbāth dalam Bahtsul Masail dirumuskan dan dibakukan. Secara umum, kerangka metodologis tersebut memuat dua elemen yang bertumpu pada aktivitas istinbāth secara kolektif (istinbāth jamā‘ī). Pertama adalah elemen trilogi metode istinbāth  itu sendiri, yaitu metode qaulī, metode il</w:t>
      </w:r>
      <w:r w:rsidRPr="00C613CC">
        <w:rPr>
          <w:rFonts w:ascii="Cambria" w:hAnsi="Cambria" w:cs="Cambria"/>
          <w:bCs/>
          <w:iCs/>
          <w:sz w:val="24"/>
          <w:szCs w:val="24"/>
        </w:rPr>
        <w:t>ḥ</w:t>
      </w:r>
      <w:r w:rsidRPr="00C613CC">
        <w:rPr>
          <w:rFonts w:ascii="Minion Pro" w:hAnsi="Minion Pro" w:cs="Times New Roman"/>
          <w:bCs/>
          <w:iCs/>
          <w:sz w:val="24"/>
          <w:szCs w:val="24"/>
        </w:rPr>
        <w:t>āqī, dan metode manhajī. Kedua adalah elemen kerangka analisis sosial, meliputi analisis masalah, analisis dampak, analisis hukum, dan analisis tindakan, peran dan pengawasan.</w:t>
      </w:r>
    </w:p>
    <w:p w14:paraId="2A43FD5A" w14:textId="14B53DAD" w:rsidR="00181326" w:rsidRDefault="00C613CC" w:rsidP="00C613CC">
      <w:pPr>
        <w:pStyle w:val="ListParagraph"/>
        <w:numPr>
          <w:ilvl w:val="1"/>
          <w:numId w:val="1"/>
        </w:numPr>
        <w:spacing w:line="240" w:lineRule="auto"/>
        <w:ind w:left="567" w:hanging="567"/>
        <w:jc w:val="both"/>
        <w:rPr>
          <w:rFonts w:ascii="Minion Pro" w:hAnsi="Minion Pro" w:cs="Times New Roman"/>
          <w:b/>
          <w:sz w:val="24"/>
          <w:szCs w:val="24"/>
          <w:lang w:val="en-US"/>
        </w:rPr>
      </w:pPr>
      <w:r w:rsidRPr="00C613CC">
        <w:rPr>
          <w:rFonts w:ascii="Minion Pro" w:hAnsi="Minion Pro" w:cs="Times New Roman"/>
          <w:b/>
          <w:bCs/>
          <w:sz w:val="24"/>
          <w:szCs w:val="24"/>
          <w:lang w:val="en-US"/>
        </w:rPr>
        <w:t xml:space="preserve">Proses </w:t>
      </w:r>
      <w:proofErr w:type="spellStart"/>
      <w:r w:rsidRPr="00C613CC">
        <w:rPr>
          <w:rFonts w:ascii="Minion Pro" w:hAnsi="Minion Pro" w:cs="Times New Roman"/>
          <w:b/>
          <w:bCs/>
          <w:sz w:val="24"/>
          <w:szCs w:val="24"/>
          <w:lang w:val="en-US"/>
        </w:rPr>
        <w:t>Perumusan</w:t>
      </w:r>
      <w:proofErr w:type="spellEnd"/>
      <w:r w:rsidRPr="00C613CC">
        <w:rPr>
          <w:rFonts w:ascii="Minion Pro" w:hAnsi="Minion Pro" w:cs="Times New Roman"/>
          <w:b/>
          <w:bCs/>
          <w:sz w:val="24"/>
          <w:szCs w:val="24"/>
          <w:lang w:val="en-US"/>
        </w:rPr>
        <w:t xml:space="preserve"> dan </w:t>
      </w:r>
      <w:proofErr w:type="spellStart"/>
      <w:r w:rsidRPr="00C613CC">
        <w:rPr>
          <w:rFonts w:ascii="Minion Pro" w:hAnsi="Minion Pro" w:cs="Times New Roman"/>
          <w:b/>
          <w:bCs/>
          <w:sz w:val="24"/>
          <w:szCs w:val="24"/>
          <w:lang w:val="en-US"/>
        </w:rPr>
        <w:t>Pembakuan</w:t>
      </w:r>
      <w:proofErr w:type="spellEnd"/>
      <w:r w:rsidRPr="00C613CC">
        <w:rPr>
          <w:rFonts w:ascii="Minion Pro" w:hAnsi="Minion Pro" w:cs="Times New Roman"/>
          <w:b/>
          <w:sz w:val="24"/>
          <w:szCs w:val="24"/>
          <w:lang w:val="en-US"/>
        </w:rPr>
        <w:t xml:space="preserve"> </w:t>
      </w:r>
    </w:p>
    <w:p w14:paraId="4B64DF8F" w14:textId="77777777" w:rsidR="00C613CC" w:rsidRDefault="00C613CC" w:rsidP="00C613CC">
      <w:pPr>
        <w:spacing w:line="240" w:lineRule="auto"/>
        <w:jc w:val="both"/>
        <w:rPr>
          <w:rFonts w:ascii="Minion Pro" w:hAnsi="Minion Pro" w:cs="Times New Roman"/>
          <w:bCs/>
          <w:sz w:val="24"/>
          <w:szCs w:val="24"/>
          <w:lang w:val="en-US"/>
        </w:rPr>
      </w:pPr>
      <w:proofErr w:type="spellStart"/>
      <w:r w:rsidRPr="00C613CC">
        <w:rPr>
          <w:rFonts w:ascii="Minion Pro" w:hAnsi="Minion Pro" w:cs="Times New Roman"/>
          <w:bCs/>
          <w:sz w:val="24"/>
          <w:szCs w:val="24"/>
          <w:lang w:val="en-US"/>
        </w:rPr>
        <w:t>Kerangka</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metodologis</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i/>
          <w:iCs/>
          <w:sz w:val="24"/>
          <w:szCs w:val="24"/>
          <w:lang w:val="en-US"/>
        </w:rPr>
        <w:t>istinbāth</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edisi</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tahun</w:t>
      </w:r>
      <w:proofErr w:type="spellEnd"/>
      <w:r w:rsidRPr="00C613CC">
        <w:rPr>
          <w:rFonts w:ascii="Minion Pro" w:hAnsi="Minion Pro" w:cs="Times New Roman"/>
          <w:bCs/>
          <w:sz w:val="24"/>
          <w:szCs w:val="24"/>
          <w:lang w:val="en-US"/>
        </w:rPr>
        <w:t xml:space="preserve"> 1992 </w:t>
      </w:r>
      <w:proofErr w:type="spellStart"/>
      <w:r w:rsidRPr="00C613CC">
        <w:rPr>
          <w:rFonts w:ascii="Minion Pro" w:hAnsi="Minion Pro" w:cs="Times New Roman"/>
          <w:bCs/>
          <w:sz w:val="24"/>
          <w:szCs w:val="24"/>
          <w:lang w:val="en-US"/>
        </w:rPr>
        <w:t>tersebut</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tidak</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datang</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secara</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tiba-tiba</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Perumusannya</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didahului</w:t>
      </w:r>
      <w:proofErr w:type="spellEnd"/>
      <w:r w:rsidRPr="00C613CC">
        <w:rPr>
          <w:rFonts w:ascii="Minion Pro" w:hAnsi="Minion Pro" w:cs="Times New Roman"/>
          <w:bCs/>
          <w:sz w:val="24"/>
          <w:szCs w:val="24"/>
          <w:lang w:val="en-US"/>
        </w:rPr>
        <w:t xml:space="preserve"> oleh </w:t>
      </w:r>
      <w:proofErr w:type="spellStart"/>
      <w:r w:rsidRPr="00C613CC">
        <w:rPr>
          <w:rFonts w:ascii="Minion Pro" w:hAnsi="Minion Pro" w:cs="Times New Roman"/>
          <w:bCs/>
          <w:sz w:val="24"/>
          <w:szCs w:val="24"/>
          <w:lang w:val="en-US"/>
        </w:rPr>
        <w:t>serangkaian</w:t>
      </w:r>
      <w:proofErr w:type="spellEnd"/>
      <w:r w:rsidRPr="00C613CC">
        <w:rPr>
          <w:rFonts w:ascii="Minion Pro" w:hAnsi="Minion Pro" w:cs="Times New Roman"/>
          <w:bCs/>
          <w:sz w:val="24"/>
          <w:szCs w:val="24"/>
          <w:lang w:val="en-US"/>
        </w:rPr>
        <w:t xml:space="preserve"> proses </w:t>
      </w:r>
      <w:proofErr w:type="spellStart"/>
      <w:r w:rsidRPr="00C613CC">
        <w:rPr>
          <w:rFonts w:ascii="Minion Pro" w:hAnsi="Minion Pro" w:cs="Times New Roman"/>
          <w:bCs/>
          <w:sz w:val="24"/>
          <w:szCs w:val="24"/>
          <w:lang w:val="en-US"/>
        </w:rPr>
        <w:t>berliku</w:t>
      </w:r>
      <w:proofErr w:type="spellEnd"/>
      <w:r w:rsidRPr="00C613CC">
        <w:rPr>
          <w:rFonts w:ascii="Minion Pro" w:hAnsi="Minion Pro" w:cs="Times New Roman"/>
          <w:bCs/>
          <w:sz w:val="24"/>
          <w:szCs w:val="24"/>
          <w:lang w:val="en-US"/>
        </w:rPr>
        <w:t xml:space="preserve"> dan </w:t>
      </w:r>
      <w:proofErr w:type="spellStart"/>
      <w:r w:rsidRPr="00C613CC">
        <w:rPr>
          <w:rFonts w:ascii="Minion Pro" w:hAnsi="Minion Pro" w:cs="Times New Roman"/>
          <w:bCs/>
          <w:sz w:val="24"/>
          <w:szCs w:val="24"/>
          <w:lang w:val="en-US"/>
        </w:rPr>
        <w:t>perdebatan</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lastRenderedPageBreak/>
        <w:t>sengit</w:t>
      </w:r>
      <w:proofErr w:type="spellEnd"/>
      <w:r w:rsidRPr="00C613CC">
        <w:rPr>
          <w:rFonts w:ascii="Minion Pro" w:hAnsi="Minion Pro" w:cs="Times New Roman"/>
          <w:bCs/>
          <w:sz w:val="24"/>
          <w:szCs w:val="24"/>
          <w:lang w:val="en-US"/>
        </w:rPr>
        <w:t xml:space="preserve"> yang </w:t>
      </w:r>
      <w:proofErr w:type="spellStart"/>
      <w:r w:rsidRPr="00C613CC">
        <w:rPr>
          <w:rFonts w:ascii="Minion Pro" w:hAnsi="Minion Pro" w:cs="Times New Roman"/>
          <w:bCs/>
          <w:sz w:val="24"/>
          <w:szCs w:val="24"/>
          <w:lang w:val="en-US"/>
        </w:rPr>
        <w:t>berjangkar</w:t>
      </w:r>
      <w:proofErr w:type="spellEnd"/>
      <w:r w:rsidRPr="00C613CC">
        <w:rPr>
          <w:rFonts w:ascii="Minion Pro" w:hAnsi="Minion Pro" w:cs="Times New Roman"/>
          <w:bCs/>
          <w:sz w:val="24"/>
          <w:szCs w:val="24"/>
          <w:lang w:val="en-US"/>
        </w:rPr>
        <w:t xml:space="preserve"> pada </w:t>
      </w:r>
      <w:proofErr w:type="spellStart"/>
      <w:r w:rsidRPr="00C613CC">
        <w:rPr>
          <w:rFonts w:ascii="Minion Pro" w:hAnsi="Minion Pro" w:cs="Times New Roman"/>
          <w:bCs/>
          <w:sz w:val="24"/>
          <w:szCs w:val="24"/>
          <w:lang w:val="en-US"/>
        </w:rPr>
        <w:t>dinamika</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gerakan</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pemikiran</w:t>
      </w:r>
      <w:proofErr w:type="spellEnd"/>
      <w:r w:rsidRPr="00C613CC">
        <w:rPr>
          <w:rFonts w:ascii="Minion Pro" w:hAnsi="Minion Pro" w:cs="Times New Roman"/>
          <w:bCs/>
          <w:sz w:val="24"/>
          <w:szCs w:val="24"/>
          <w:lang w:val="en-US"/>
        </w:rPr>
        <w:t xml:space="preserve"> dan </w:t>
      </w:r>
      <w:proofErr w:type="spellStart"/>
      <w:r w:rsidRPr="00C613CC">
        <w:rPr>
          <w:rFonts w:ascii="Minion Pro" w:hAnsi="Minion Pro" w:cs="Times New Roman"/>
          <w:bCs/>
          <w:sz w:val="24"/>
          <w:szCs w:val="24"/>
          <w:lang w:val="en-US"/>
        </w:rPr>
        <w:t>politik</w:t>
      </w:r>
      <w:proofErr w:type="spellEnd"/>
      <w:r w:rsidRPr="00C613CC">
        <w:rPr>
          <w:rFonts w:ascii="Minion Pro" w:hAnsi="Minion Pro" w:cs="Times New Roman"/>
          <w:bCs/>
          <w:sz w:val="24"/>
          <w:szCs w:val="24"/>
          <w:lang w:val="en-US"/>
        </w:rPr>
        <w:t xml:space="preserve"> NU </w:t>
      </w:r>
      <w:proofErr w:type="spellStart"/>
      <w:r w:rsidRPr="00C613CC">
        <w:rPr>
          <w:rFonts w:ascii="Minion Pro" w:hAnsi="Minion Pro" w:cs="Times New Roman"/>
          <w:bCs/>
          <w:sz w:val="24"/>
          <w:szCs w:val="24"/>
          <w:lang w:val="en-US"/>
        </w:rPr>
        <w:t>sejak</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akhir</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dekade</w:t>
      </w:r>
      <w:proofErr w:type="spellEnd"/>
      <w:r w:rsidRPr="00C613CC">
        <w:rPr>
          <w:rFonts w:ascii="Minion Pro" w:hAnsi="Minion Pro" w:cs="Times New Roman"/>
          <w:bCs/>
          <w:sz w:val="24"/>
          <w:szCs w:val="24"/>
          <w:lang w:val="en-US"/>
        </w:rPr>
        <w:t xml:space="preserve"> 1970-an. </w:t>
      </w:r>
      <w:proofErr w:type="spellStart"/>
      <w:r w:rsidRPr="00C613CC">
        <w:rPr>
          <w:rFonts w:ascii="Minion Pro" w:hAnsi="Minion Pro" w:cs="Times New Roman"/>
          <w:bCs/>
          <w:sz w:val="24"/>
          <w:szCs w:val="24"/>
          <w:lang w:val="en-US"/>
        </w:rPr>
        <w:t>Seperti</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telah</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diuraikan</w:t>
      </w:r>
      <w:proofErr w:type="spellEnd"/>
      <w:r w:rsidRPr="00C613CC">
        <w:rPr>
          <w:rFonts w:ascii="Minion Pro" w:hAnsi="Minion Pro" w:cs="Times New Roman"/>
          <w:bCs/>
          <w:sz w:val="24"/>
          <w:szCs w:val="24"/>
          <w:lang w:val="en-US"/>
        </w:rPr>
        <w:t xml:space="preserve"> pada </w:t>
      </w:r>
      <w:proofErr w:type="spellStart"/>
      <w:r w:rsidRPr="00C613CC">
        <w:rPr>
          <w:rFonts w:ascii="Minion Pro" w:hAnsi="Minion Pro" w:cs="Times New Roman"/>
          <w:bCs/>
          <w:sz w:val="24"/>
          <w:szCs w:val="24"/>
          <w:lang w:val="en-US"/>
        </w:rPr>
        <w:t>pertengahan</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bab</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ini</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gerakan</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itu</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bermula</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dari</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adanya</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kegelisahan</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tentang</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begitu</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kuatnya</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orientasi</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politis</w:t>
      </w:r>
      <w:proofErr w:type="spellEnd"/>
      <w:r w:rsidRPr="00C613CC">
        <w:rPr>
          <w:rFonts w:ascii="Minion Pro" w:hAnsi="Minion Pro" w:cs="Times New Roman"/>
          <w:bCs/>
          <w:sz w:val="24"/>
          <w:szCs w:val="24"/>
          <w:lang w:val="en-US"/>
        </w:rPr>
        <w:t xml:space="preserve"> NU </w:t>
      </w:r>
      <w:proofErr w:type="spellStart"/>
      <w:r w:rsidRPr="00C613CC">
        <w:rPr>
          <w:rFonts w:ascii="Minion Pro" w:hAnsi="Minion Pro" w:cs="Times New Roman"/>
          <w:bCs/>
          <w:sz w:val="24"/>
          <w:szCs w:val="24"/>
          <w:lang w:val="en-US"/>
        </w:rPr>
        <w:t>sehingga</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menyebabkan</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terbengkalainya</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persoalan</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sosial</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umat</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Relasi</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politik</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antara</w:t>
      </w:r>
      <w:proofErr w:type="spellEnd"/>
      <w:r w:rsidRPr="00C613CC">
        <w:rPr>
          <w:rFonts w:ascii="Minion Pro" w:hAnsi="Minion Pro" w:cs="Times New Roman"/>
          <w:bCs/>
          <w:sz w:val="24"/>
          <w:szCs w:val="24"/>
          <w:lang w:val="en-US"/>
        </w:rPr>
        <w:t xml:space="preserve"> NU dan </w:t>
      </w:r>
      <w:proofErr w:type="spellStart"/>
      <w:r w:rsidRPr="00C613CC">
        <w:rPr>
          <w:rFonts w:ascii="Minion Pro" w:hAnsi="Minion Pro" w:cs="Times New Roman"/>
          <w:bCs/>
          <w:sz w:val="24"/>
          <w:szCs w:val="24"/>
          <w:lang w:val="en-US"/>
        </w:rPr>
        <w:t>penguasa</w:t>
      </w:r>
      <w:proofErr w:type="spellEnd"/>
      <w:r w:rsidRPr="00C613CC">
        <w:rPr>
          <w:rFonts w:ascii="Minion Pro" w:hAnsi="Minion Pro" w:cs="Times New Roman"/>
          <w:bCs/>
          <w:sz w:val="24"/>
          <w:szCs w:val="24"/>
          <w:lang w:val="en-US"/>
        </w:rPr>
        <w:t xml:space="preserve"> Orde </w:t>
      </w:r>
      <w:proofErr w:type="spellStart"/>
      <w:r w:rsidRPr="00C613CC">
        <w:rPr>
          <w:rFonts w:ascii="Minion Pro" w:hAnsi="Minion Pro" w:cs="Times New Roman"/>
          <w:bCs/>
          <w:sz w:val="24"/>
          <w:szCs w:val="24"/>
          <w:lang w:val="en-US"/>
        </w:rPr>
        <w:t>Baru</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waktu</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itu</w:t>
      </w:r>
      <w:proofErr w:type="spellEnd"/>
      <w:r w:rsidRPr="00C613CC">
        <w:rPr>
          <w:rFonts w:ascii="Minion Pro" w:hAnsi="Minion Pro" w:cs="Times New Roman"/>
          <w:bCs/>
          <w:sz w:val="24"/>
          <w:szCs w:val="24"/>
          <w:lang w:val="en-US"/>
        </w:rPr>
        <w:t xml:space="preserve"> juga </w:t>
      </w:r>
      <w:proofErr w:type="spellStart"/>
      <w:r w:rsidRPr="00C613CC">
        <w:rPr>
          <w:rFonts w:ascii="Minion Pro" w:hAnsi="Minion Pro" w:cs="Times New Roman"/>
          <w:bCs/>
          <w:sz w:val="24"/>
          <w:szCs w:val="24"/>
          <w:lang w:val="en-US"/>
        </w:rPr>
        <w:t>diwarnai</w:t>
      </w:r>
      <w:proofErr w:type="spellEnd"/>
      <w:r w:rsidRPr="00C613CC">
        <w:rPr>
          <w:rFonts w:ascii="Minion Pro" w:hAnsi="Minion Pro" w:cs="Times New Roman"/>
          <w:bCs/>
          <w:sz w:val="24"/>
          <w:szCs w:val="24"/>
          <w:lang w:val="en-US"/>
        </w:rPr>
        <w:t xml:space="preserve"> oleh </w:t>
      </w:r>
      <w:proofErr w:type="spellStart"/>
      <w:r w:rsidRPr="00C613CC">
        <w:rPr>
          <w:rFonts w:ascii="Minion Pro" w:hAnsi="Minion Pro" w:cs="Times New Roman"/>
          <w:bCs/>
          <w:sz w:val="24"/>
          <w:szCs w:val="24"/>
          <w:lang w:val="en-US"/>
        </w:rPr>
        <w:t>ketegangan</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Melalui</w:t>
      </w:r>
      <w:proofErr w:type="spellEnd"/>
      <w:r w:rsidRPr="00C613CC">
        <w:rPr>
          <w:rFonts w:ascii="Minion Pro" w:hAnsi="Minion Pro" w:cs="Times New Roman"/>
          <w:bCs/>
          <w:sz w:val="24"/>
          <w:szCs w:val="24"/>
          <w:lang w:val="en-US"/>
        </w:rPr>
        <w:t xml:space="preserve"> proses </w:t>
      </w:r>
      <w:proofErr w:type="spellStart"/>
      <w:r w:rsidRPr="00C613CC">
        <w:rPr>
          <w:rFonts w:ascii="Minion Pro" w:hAnsi="Minion Pro" w:cs="Times New Roman"/>
          <w:bCs/>
          <w:sz w:val="24"/>
          <w:szCs w:val="24"/>
          <w:lang w:val="en-US"/>
        </w:rPr>
        <w:t>pergulatan</w:t>
      </w:r>
      <w:proofErr w:type="spellEnd"/>
      <w:r w:rsidRPr="00C613CC">
        <w:rPr>
          <w:rFonts w:ascii="Minion Pro" w:hAnsi="Minion Pro" w:cs="Times New Roman"/>
          <w:bCs/>
          <w:sz w:val="24"/>
          <w:szCs w:val="24"/>
          <w:lang w:val="en-US"/>
        </w:rPr>
        <w:t xml:space="preserve"> yang </w:t>
      </w:r>
      <w:proofErr w:type="spellStart"/>
      <w:r w:rsidRPr="00C613CC">
        <w:rPr>
          <w:rFonts w:ascii="Minion Pro" w:hAnsi="Minion Pro" w:cs="Times New Roman"/>
          <w:bCs/>
          <w:sz w:val="24"/>
          <w:szCs w:val="24"/>
          <w:lang w:val="en-US"/>
        </w:rPr>
        <w:t>panjang</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gerakan</w:t>
      </w:r>
      <w:proofErr w:type="spellEnd"/>
      <w:r w:rsidRPr="00C613CC">
        <w:rPr>
          <w:rFonts w:ascii="Minion Pro" w:hAnsi="Minion Pro" w:cs="Times New Roman"/>
          <w:bCs/>
          <w:sz w:val="24"/>
          <w:szCs w:val="24"/>
          <w:lang w:val="en-US"/>
        </w:rPr>
        <w:t xml:space="preserve"> yang </w:t>
      </w:r>
      <w:proofErr w:type="spellStart"/>
      <w:r w:rsidRPr="00C613CC">
        <w:rPr>
          <w:rFonts w:ascii="Minion Pro" w:hAnsi="Minion Pro" w:cs="Times New Roman"/>
          <w:bCs/>
          <w:sz w:val="24"/>
          <w:szCs w:val="24"/>
          <w:lang w:val="en-US"/>
        </w:rPr>
        <w:t>dimotori</w:t>
      </w:r>
      <w:proofErr w:type="spellEnd"/>
      <w:r w:rsidRPr="00C613CC">
        <w:rPr>
          <w:rFonts w:ascii="Minion Pro" w:hAnsi="Minion Pro" w:cs="Times New Roman"/>
          <w:bCs/>
          <w:sz w:val="24"/>
          <w:szCs w:val="24"/>
          <w:lang w:val="en-US"/>
        </w:rPr>
        <w:t xml:space="preserve"> oleh </w:t>
      </w:r>
      <w:proofErr w:type="spellStart"/>
      <w:r w:rsidRPr="00C613CC">
        <w:rPr>
          <w:rFonts w:ascii="Minion Pro" w:hAnsi="Minion Pro" w:cs="Times New Roman"/>
          <w:bCs/>
          <w:sz w:val="24"/>
          <w:szCs w:val="24"/>
          <w:lang w:val="en-US"/>
        </w:rPr>
        <w:t>kiai-kiai</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kultural</w:t>
      </w:r>
      <w:proofErr w:type="spellEnd"/>
      <w:r w:rsidRPr="00C613CC">
        <w:rPr>
          <w:rFonts w:ascii="Minion Pro" w:hAnsi="Minion Pro" w:cs="Times New Roman"/>
          <w:bCs/>
          <w:sz w:val="24"/>
          <w:szCs w:val="24"/>
          <w:lang w:val="en-US"/>
        </w:rPr>
        <w:t xml:space="preserve"> NU </w:t>
      </w:r>
      <w:proofErr w:type="spellStart"/>
      <w:r w:rsidRPr="00C613CC">
        <w:rPr>
          <w:rFonts w:ascii="Minion Pro" w:hAnsi="Minion Pro" w:cs="Times New Roman"/>
          <w:bCs/>
          <w:sz w:val="24"/>
          <w:szCs w:val="24"/>
          <w:lang w:val="en-US"/>
        </w:rPr>
        <w:t>itu</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akhirnya</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berhasil</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mendesakkan</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langkah</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politik</w:t>
      </w:r>
      <w:proofErr w:type="spellEnd"/>
      <w:r w:rsidRPr="00C613CC">
        <w:rPr>
          <w:rFonts w:ascii="Minion Pro" w:hAnsi="Minion Pro" w:cs="Times New Roman"/>
          <w:bCs/>
          <w:sz w:val="24"/>
          <w:szCs w:val="24"/>
          <w:lang w:val="en-US"/>
        </w:rPr>
        <w:t xml:space="preserve"> yang </w:t>
      </w:r>
      <w:proofErr w:type="spellStart"/>
      <w:r w:rsidRPr="00C613CC">
        <w:rPr>
          <w:rFonts w:ascii="Minion Pro" w:hAnsi="Minion Pro" w:cs="Times New Roman"/>
          <w:bCs/>
          <w:sz w:val="24"/>
          <w:szCs w:val="24"/>
          <w:lang w:val="en-US"/>
        </w:rPr>
        <w:t>progresif</w:t>
      </w:r>
      <w:proofErr w:type="spellEnd"/>
      <w:r w:rsidRPr="00C613CC">
        <w:rPr>
          <w:rFonts w:ascii="Minion Pro" w:hAnsi="Minion Pro" w:cs="Times New Roman"/>
          <w:bCs/>
          <w:sz w:val="24"/>
          <w:szCs w:val="24"/>
          <w:lang w:val="en-US"/>
        </w:rPr>
        <w:t xml:space="preserve"> pada </w:t>
      </w:r>
      <w:proofErr w:type="spellStart"/>
      <w:r w:rsidRPr="00C613CC">
        <w:rPr>
          <w:rFonts w:ascii="Minion Pro" w:hAnsi="Minion Pro" w:cs="Times New Roman"/>
          <w:bCs/>
          <w:sz w:val="24"/>
          <w:szCs w:val="24"/>
          <w:lang w:val="en-US"/>
        </w:rPr>
        <w:t>tahun</w:t>
      </w:r>
      <w:proofErr w:type="spellEnd"/>
      <w:r w:rsidRPr="00C613CC">
        <w:rPr>
          <w:rFonts w:ascii="Minion Pro" w:hAnsi="Minion Pro" w:cs="Times New Roman"/>
          <w:bCs/>
          <w:sz w:val="24"/>
          <w:szCs w:val="24"/>
          <w:lang w:val="en-US"/>
        </w:rPr>
        <w:t xml:space="preserve"> 1984. Langkah </w:t>
      </w:r>
      <w:proofErr w:type="spellStart"/>
      <w:r w:rsidRPr="00C613CC">
        <w:rPr>
          <w:rFonts w:ascii="Minion Pro" w:hAnsi="Minion Pro" w:cs="Times New Roman"/>
          <w:bCs/>
          <w:sz w:val="24"/>
          <w:szCs w:val="24"/>
          <w:lang w:val="en-US"/>
        </w:rPr>
        <w:t>progresif</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tersebut</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adalah</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penegasan</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i/>
          <w:iCs/>
          <w:sz w:val="24"/>
          <w:szCs w:val="24"/>
          <w:lang w:val="en-US"/>
        </w:rPr>
        <w:t>Khittah</w:t>
      </w:r>
      <w:proofErr w:type="spellEnd"/>
      <w:r w:rsidRPr="00C613CC">
        <w:rPr>
          <w:rFonts w:ascii="Minion Pro" w:hAnsi="Minion Pro" w:cs="Times New Roman"/>
          <w:bCs/>
          <w:sz w:val="24"/>
          <w:szCs w:val="24"/>
          <w:lang w:val="en-US"/>
        </w:rPr>
        <w:t xml:space="preserve"> 1926 yang </w:t>
      </w:r>
      <w:proofErr w:type="spellStart"/>
      <w:r w:rsidRPr="00C613CC">
        <w:rPr>
          <w:rFonts w:ascii="Minion Pro" w:hAnsi="Minion Pro" w:cs="Times New Roman"/>
          <w:bCs/>
          <w:sz w:val="24"/>
          <w:szCs w:val="24"/>
          <w:lang w:val="en-US"/>
        </w:rPr>
        <w:t>ditandai</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dengan</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penarikan</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diri</w:t>
      </w:r>
      <w:proofErr w:type="spellEnd"/>
      <w:r w:rsidRPr="00C613CC">
        <w:rPr>
          <w:rFonts w:ascii="Minion Pro" w:hAnsi="Minion Pro" w:cs="Times New Roman"/>
          <w:bCs/>
          <w:sz w:val="24"/>
          <w:szCs w:val="24"/>
          <w:lang w:val="en-US"/>
        </w:rPr>
        <w:t xml:space="preserve"> NU </w:t>
      </w:r>
      <w:proofErr w:type="spellStart"/>
      <w:r w:rsidRPr="00C613CC">
        <w:rPr>
          <w:rFonts w:ascii="Minion Pro" w:hAnsi="Minion Pro" w:cs="Times New Roman"/>
          <w:bCs/>
          <w:sz w:val="24"/>
          <w:szCs w:val="24"/>
          <w:lang w:val="en-US"/>
        </w:rPr>
        <w:t>dari</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panggung</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politik</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praktis</w:t>
      </w:r>
      <w:proofErr w:type="spellEnd"/>
      <w:r w:rsidRPr="00C613CC">
        <w:rPr>
          <w:rFonts w:ascii="Minion Pro" w:hAnsi="Minion Pro" w:cs="Times New Roman"/>
          <w:bCs/>
          <w:sz w:val="24"/>
          <w:szCs w:val="24"/>
          <w:lang w:val="en-US"/>
        </w:rPr>
        <w:t xml:space="preserve"> dan </w:t>
      </w:r>
      <w:proofErr w:type="spellStart"/>
      <w:r w:rsidRPr="00C613CC">
        <w:rPr>
          <w:rFonts w:ascii="Minion Pro" w:hAnsi="Minion Pro" w:cs="Times New Roman"/>
          <w:bCs/>
          <w:sz w:val="24"/>
          <w:szCs w:val="24"/>
          <w:lang w:val="en-US"/>
        </w:rPr>
        <w:t>penerimaan</w:t>
      </w:r>
      <w:proofErr w:type="spellEnd"/>
      <w:r w:rsidRPr="00C613CC">
        <w:rPr>
          <w:rFonts w:ascii="Minion Pro" w:hAnsi="Minion Pro" w:cs="Times New Roman"/>
          <w:bCs/>
          <w:sz w:val="24"/>
          <w:szCs w:val="24"/>
          <w:lang w:val="en-US"/>
        </w:rPr>
        <w:t xml:space="preserve"> Pancasila </w:t>
      </w:r>
      <w:proofErr w:type="spellStart"/>
      <w:r w:rsidRPr="00C613CC">
        <w:rPr>
          <w:rFonts w:ascii="Minion Pro" w:hAnsi="Minion Pro" w:cs="Times New Roman"/>
          <w:bCs/>
          <w:sz w:val="24"/>
          <w:szCs w:val="24"/>
          <w:lang w:val="en-US"/>
        </w:rPr>
        <w:t>sebagai</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asas</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tunggal</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Dengan</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langkah</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strategis</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itu</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hubungan</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baik</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politik</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dengan</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penguasa</w:t>
      </w:r>
      <w:proofErr w:type="spellEnd"/>
      <w:r w:rsidRPr="00C613CC">
        <w:rPr>
          <w:rFonts w:ascii="Minion Pro" w:hAnsi="Minion Pro" w:cs="Times New Roman"/>
          <w:bCs/>
          <w:sz w:val="24"/>
          <w:szCs w:val="24"/>
          <w:lang w:val="en-US"/>
        </w:rPr>
        <w:t xml:space="preserve"> Orde </w:t>
      </w:r>
      <w:proofErr w:type="spellStart"/>
      <w:r w:rsidRPr="00C613CC">
        <w:rPr>
          <w:rFonts w:ascii="Minion Pro" w:hAnsi="Minion Pro" w:cs="Times New Roman"/>
          <w:bCs/>
          <w:sz w:val="24"/>
          <w:szCs w:val="24"/>
          <w:lang w:val="en-US"/>
        </w:rPr>
        <w:t>Baru</w:t>
      </w:r>
      <w:proofErr w:type="spellEnd"/>
      <w:r w:rsidRPr="00C613CC">
        <w:rPr>
          <w:rFonts w:ascii="Minion Pro" w:hAnsi="Minion Pro" w:cs="Times New Roman"/>
          <w:bCs/>
          <w:sz w:val="24"/>
          <w:szCs w:val="24"/>
          <w:lang w:val="en-US"/>
        </w:rPr>
        <w:t xml:space="preserve"> pun </w:t>
      </w:r>
      <w:proofErr w:type="spellStart"/>
      <w:r w:rsidRPr="00C613CC">
        <w:rPr>
          <w:rFonts w:ascii="Minion Pro" w:hAnsi="Minion Pro" w:cs="Times New Roman"/>
          <w:bCs/>
          <w:sz w:val="24"/>
          <w:szCs w:val="24"/>
          <w:lang w:val="en-US"/>
        </w:rPr>
        <w:t>terjalin</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kembali</w:t>
      </w:r>
      <w:proofErr w:type="spellEnd"/>
      <w:r w:rsidRPr="00C613CC">
        <w:rPr>
          <w:rFonts w:ascii="Minion Pro" w:hAnsi="Minion Pro" w:cs="Times New Roman"/>
          <w:bCs/>
          <w:sz w:val="24"/>
          <w:szCs w:val="24"/>
          <w:lang w:val="en-US"/>
        </w:rPr>
        <w:t xml:space="preserve"> dan NU </w:t>
      </w:r>
      <w:proofErr w:type="spellStart"/>
      <w:r w:rsidRPr="00C613CC">
        <w:rPr>
          <w:rFonts w:ascii="Minion Pro" w:hAnsi="Minion Pro" w:cs="Times New Roman"/>
          <w:bCs/>
          <w:sz w:val="24"/>
          <w:szCs w:val="24"/>
          <w:lang w:val="en-US"/>
        </w:rPr>
        <w:t>secara</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bertahap</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kembali</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menjadi</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kekuatan</w:t>
      </w:r>
      <w:proofErr w:type="spellEnd"/>
      <w:r w:rsidRPr="00C613CC">
        <w:rPr>
          <w:rFonts w:ascii="Minion Pro" w:hAnsi="Minion Pro" w:cs="Times New Roman"/>
          <w:bCs/>
          <w:sz w:val="24"/>
          <w:szCs w:val="24"/>
          <w:lang w:val="en-US"/>
        </w:rPr>
        <w:t xml:space="preserve"> </w:t>
      </w:r>
      <w:r w:rsidRPr="00C613CC">
        <w:rPr>
          <w:rFonts w:ascii="Minion Pro" w:hAnsi="Minion Pro" w:cs="Times New Roman"/>
          <w:bCs/>
          <w:i/>
          <w:iCs/>
          <w:sz w:val="24"/>
          <w:szCs w:val="24"/>
          <w:lang w:val="en-US"/>
        </w:rPr>
        <w:t>civil society</w:t>
      </w:r>
      <w:r w:rsidRPr="00C613CC">
        <w:rPr>
          <w:rFonts w:ascii="Minion Pro" w:hAnsi="Minion Pro" w:cs="Times New Roman"/>
          <w:bCs/>
          <w:sz w:val="24"/>
          <w:szCs w:val="24"/>
          <w:lang w:val="en-US"/>
        </w:rPr>
        <w:t>,</w:t>
      </w:r>
      <w:r w:rsidRPr="00C613CC">
        <w:rPr>
          <w:rFonts w:ascii="Minion Pro" w:hAnsi="Minion Pro" w:cs="Times New Roman"/>
          <w:bCs/>
          <w:sz w:val="24"/>
          <w:szCs w:val="24"/>
          <w:vertAlign w:val="superscript"/>
          <w:lang w:val="en-US"/>
        </w:rPr>
        <w:footnoteReference w:id="18"/>
      </w:r>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terlepas</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dari</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ragam</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tantangan</w:t>
      </w:r>
      <w:proofErr w:type="spellEnd"/>
      <w:r w:rsidRPr="00C613CC">
        <w:rPr>
          <w:rFonts w:ascii="Minion Pro" w:hAnsi="Minion Pro" w:cs="Times New Roman"/>
          <w:bCs/>
          <w:sz w:val="24"/>
          <w:szCs w:val="24"/>
          <w:lang w:val="en-US"/>
        </w:rPr>
        <w:t xml:space="preserve"> internal dan </w:t>
      </w:r>
      <w:proofErr w:type="spellStart"/>
      <w:r w:rsidRPr="00C613CC">
        <w:rPr>
          <w:rFonts w:ascii="Minion Pro" w:hAnsi="Minion Pro" w:cs="Times New Roman"/>
          <w:bCs/>
          <w:sz w:val="24"/>
          <w:szCs w:val="24"/>
          <w:lang w:val="en-US"/>
        </w:rPr>
        <w:t>eksternal</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dalam</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perjalanan</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berikutnya</w:t>
      </w:r>
      <w:proofErr w:type="spellEnd"/>
      <w:r w:rsidRPr="00C613CC">
        <w:rPr>
          <w:rFonts w:ascii="Minion Pro" w:hAnsi="Minion Pro" w:cs="Times New Roman"/>
          <w:bCs/>
          <w:sz w:val="24"/>
          <w:szCs w:val="24"/>
          <w:lang w:val="en-US"/>
        </w:rPr>
        <w:t>.</w:t>
      </w:r>
      <w:r w:rsidRPr="00C613CC">
        <w:rPr>
          <w:rFonts w:ascii="Minion Pro" w:hAnsi="Minion Pro" w:cs="Times New Roman"/>
          <w:bCs/>
          <w:sz w:val="24"/>
          <w:szCs w:val="24"/>
          <w:vertAlign w:val="superscript"/>
          <w:lang w:val="en-US"/>
        </w:rPr>
        <w:footnoteReference w:id="19"/>
      </w:r>
    </w:p>
    <w:p w14:paraId="645F4DB9" w14:textId="77777777" w:rsidR="00C613CC" w:rsidRPr="00C613CC" w:rsidRDefault="00C613CC" w:rsidP="00C613CC">
      <w:pPr>
        <w:spacing w:line="240" w:lineRule="auto"/>
        <w:jc w:val="both"/>
        <w:rPr>
          <w:rFonts w:ascii="Minion Pro" w:hAnsi="Minion Pro" w:cs="Times New Roman"/>
          <w:bCs/>
          <w:sz w:val="24"/>
          <w:szCs w:val="24"/>
          <w:lang w:val="en-US"/>
        </w:rPr>
      </w:pPr>
      <w:r w:rsidRPr="00C613CC">
        <w:rPr>
          <w:rFonts w:ascii="Minion Pro" w:hAnsi="Minion Pro" w:cs="Times New Roman"/>
          <w:bCs/>
          <w:sz w:val="24"/>
          <w:szCs w:val="24"/>
          <w:lang w:val="en-US"/>
        </w:rPr>
        <w:t xml:space="preserve">Langkah </w:t>
      </w:r>
      <w:proofErr w:type="spellStart"/>
      <w:r w:rsidRPr="00C613CC">
        <w:rPr>
          <w:rFonts w:ascii="Minion Pro" w:hAnsi="Minion Pro" w:cs="Times New Roman"/>
          <w:bCs/>
          <w:sz w:val="24"/>
          <w:szCs w:val="24"/>
          <w:lang w:val="en-US"/>
        </w:rPr>
        <w:t>politik</w:t>
      </w:r>
      <w:proofErr w:type="spellEnd"/>
      <w:r w:rsidRPr="00C613CC">
        <w:rPr>
          <w:rFonts w:ascii="Minion Pro" w:hAnsi="Minion Pro" w:cs="Times New Roman"/>
          <w:bCs/>
          <w:sz w:val="24"/>
          <w:szCs w:val="24"/>
          <w:lang w:val="en-US"/>
        </w:rPr>
        <w:t xml:space="preserve"> yang </w:t>
      </w:r>
      <w:proofErr w:type="spellStart"/>
      <w:r w:rsidRPr="00C613CC">
        <w:rPr>
          <w:rFonts w:ascii="Minion Pro" w:hAnsi="Minion Pro" w:cs="Times New Roman"/>
          <w:bCs/>
          <w:sz w:val="24"/>
          <w:szCs w:val="24"/>
          <w:lang w:val="en-US"/>
        </w:rPr>
        <w:t>progresif</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itu</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kemudian</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memberikan</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keuntungan</w:t>
      </w:r>
      <w:proofErr w:type="spellEnd"/>
      <w:r w:rsidRPr="00C613CC">
        <w:rPr>
          <w:rFonts w:ascii="Minion Pro" w:hAnsi="Minion Pro" w:cs="Times New Roman"/>
          <w:bCs/>
          <w:sz w:val="24"/>
          <w:szCs w:val="24"/>
          <w:lang w:val="en-US"/>
        </w:rPr>
        <w:t xml:space="preserve"> yang </w:t>
      </w:r>
      <w:proofErr w:type="spellStart"/>
      <w:r w:rsidRPr="00C613CC">
        <w:rPr>
          <w:rFonts w:ascii="Minion Pro" w:hAnsi="Minion Pro" w:cs="Times New Roman"/>
          <w:bCs/>
          <w:sz w:val="24"/>
          <w:szCs w:val="24"/>
          <w:lang w:val="en-US"/>
        </w:rPr>
        <w:t>penting</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bagi</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dinamika</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pemikiran</w:t>
      </w:r>
      <w:proofErr w:type="spellEnd"/>
      <w:r w:rsidRPr="00C613CC">
        <w:rPr>
          <w:rFonts w:ascii="Minion Pro" w:hAnsi="Minion Pro" w:cs="Times New Roman"/>
          <w:bCs/>
          <w:sz w:val="24"/>
          <w:szCs w:val="24"/>
          <w:lang w:val="en-US"/>
        </w:rPr>
        <w:t xml:space="preserve"> NU. </w:t>
      </w:r>
      <w:proofErr w:type="spellStart"/>
      <w:r w:rsidRPr="00C613CC">
        <w:rPr>
          <w:rFonts w:ascii="Minion Pro" w:hAnsi="Minion Pro" w:cs="Times New Roman"/>
          <w:bCs/>
          <w:sz w:val="24"/>
          <w:szCs w:val="24"/>
          <w:lang w:val="en-US"/>
        </w:rPr>
        <w:t>Intelektualisme</w:t>
      </w:r>
      <w:proofErr w:type="spellEnd"/>
      <w:r w:rsidRPr="00C613CC">
        <w:rPr>
          <w:rFonts w:ascii="Minion Pro" w:hAnsi="Minion Pro" w:cs="Times New Roman"/>
          <w:bCs/>
          <w:sz w:val="24"/>
          <w:szCs w:val="24"/>
          <w:lang w:val="en-US"/>
        </w:rPr>
        <w:t xml:space="preserve"> dan </w:t>
      </w:r>
      <w:proofErr w:type="spellStart"/>
      <w:r w:rsidRPr="00C613CC">
        <w:rPr>
          <w:rFonts w:ascii="Minion Pro" w:hAnsi="Minion Pro" w:cs="Times New Roman"/>
          <w:bCs/>
          <w:sz w:val="24"/>
          <w:szCs w:val="24"/>
          <w:lang w:val="en-US"/>
        </w:rPr>
        <w:t>aktivitas</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sosial</w:t>
      </w:r>
      <w:proofErr w:type="spellEnd"/>
      <w:r w:rsidRPr="00C613CC">
        <w:rPr>
          <w:rFonts w:ascii="Minion Pro" w:hAnsi="Minion Pro" w:cs="Times New Roman"/>
          <w:bCs/>
          <w:sz w:val="24"/>
          <w:szCs w:val="24"/>
          <w:lang w:val="en-US"/>
        </w:rPr>
        <w:t xml:space="preserve"> NU pada </w:t>
      </w:r>
      <w:proofErr w:type="spellStart"/>
      <w:r w:rsidRPr="00C613CC">
        <w:rPr>
          <w:rFonts w:ascii="Minion Pro" w:hAnsi="Minion Pro" w:cs="Times New Roman"/>
          <w:bCs/>
          <w:sz w:val="24"/>
          <w:szCs w:val="24"/>
          <w:lang w:val="en-US"/>
        </w:rPr>
        <w:t>dekade</w:t>
      </w:r>
      <w:proofErr w:type="spellEnd"/>
      <w:r w:rsidRPr="00C613CC">
        <w:rPr>
          <w:rFonts w:ascii="Minion Pro" w:hAnsi="Minion Pro" w:cs="Times New Roman"/>
          <w:bCs/>
          <w:sz w:val="24"/>
          <w:szCs w:val="24"/>
          <w:lang w:val="en-US"/>
        </w:rPr>
        <w:t xml:space="preserve"> 1980-</w:t>
      </w:r>
      <w:proofErr w:type="gramStart"/>
      <w:r w:rsidRPr="00C613CC">
        <w:rPr>
          <w:rFonts w:ascii="Minion Pro" w:hAnsi="Minion Pro" w:cs="Times New Roman"/>
          <w:bCs/>
          <w:sz w:val="24"/>
          <w:szCs w:val="24"/>
          <w:lang w:val="en-US"/>
        </w:rPr>
        <w:t>an</w:t>
      </w:r>
      <w:proofErr w:type="gram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bergerak</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begitu</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dinamis</w:t>
      </w:r>
      <w:proofErr w:type="spellEnd"/>
      <w:r w:rsidRPr="00C613CC">
        <w:rPr>
          <w:rFonts w:ascii="Minion Pro" w:hAnsi="Minion Pro" w:cs="Times New Roman"/>
          <w:bCs/>
          <w:sz w:val="24"/>
          <w:szCs w:val="24"/>
          <w:lang w:val="en-US"/>
        </w:rPr>
        <w:t>,</w:t>
      </w:r>
      <w:r w:rsidRPr="00C613CC">
        <w:rPr>
          <w:rFonts w:ascii="Minion Pro" w:hAnsi="Minion Pro" w:cs="Times New Roman"/>
          <w:bCs/>
          <w:sz w:val="24"/>
          <w:szCs w:val="24"/>
          <w:vertAlign w:val="superscript"/>
          <w:lang w:val="en-US"/>
        </w:rPr>
        <w:footnoteReference w:id="20"/>
      </w:r>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seiring</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dengan</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makin</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meluasnya</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gagasan</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pembaruan</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i/>
          <w:iCs/>
          <w:sz w:val="24"/>
          <w:szCs w:val="24"/>
          <w:lang w:val="en-US"/>
        </w:rPr>
        <w:t>tajdīd</w:t>
      </w:r>
      <w:proofErr w:type="spellEnd"/>
      <w:r w:rsidRPr="00C613CC">
        <w:rPr>
          <w:rFonts w:ascii="Minion Pro" w:hAnsi="Minion Pro" w:cs="Times New Roman"/>
          <w:bCs/>
          <w:sz w:val="24"/>
          <w:szCs w:val="24"/>
          <w:lang w:val="en-US"/>
        </w:rPr>
        <w:t xml:space="preserve">) yang </w:t>
      </w:r>
      <w:proofErr w:type="spellStart"/>
      <w:r w:rsidRPr="00C613CC">
        <w:rPr>
          <w:rFonts w:ascii="Minion Pro" w:hAnsi="Minion Pro" w:cs="Times New Roman"/>
          <w:bCs/>
          <w:sz w:val="24"/>
          <w:szCs w:val="24"/>
          <w:lang w:val="en-US"/>
        </w:rPr>
        <w:t>digulirkan</w:t>
      </w:r>
      <w:proofErr w:type="spellEnd"/>
      <w:r w:rsidRPr="00C613CC">
        <w:rPr>
          <w:rFonts w:ascii="Minion Pro" w:hAnsi="Minion Pro" w:cs="Times New Roman"/>
          <w:bCs/>
          <w:sz w:val="24"/>
          <w:szCs w:val="24"/>
          <w:lang w:val="en-US"/>
        </w:rPr>
        <w:t xml:space="preserve"> oleh </w:t>
      </w:r>
      <w:proofErr w:type="spellStart"/>
      <w:r w:rsidRPr="00C613CC">
        <w:rPr>
          <w:rFonts w:ascii="Minion Pro" w:hAnsi="Minion Pro" w:cs="Times New Roman"/>
          <w:bCs/>
          <w:sz w:val="24"/>
          <w:szCs w:val="24"/>
          <w:lang w:val="en-US"/>
        </w:rPr>
        <w:t>Kiai</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Achmad</w:t>
      </w:r>
      <w:proofErr w:type="spellEnd"/>
      <w:r w:rsidRPr="00C613CC">
        <w:rPr>
          <w:rFonts w:ascii="Minion Pro" w:hAnsi="Minion Pro" w:cs="Times New Roman"/>
          <w:bCs/>
          <w:sz w:val="24"/>
          <w:szCs w:val="24"/>
          <w:lang w:val="en-US"/>
        </w:rPr>
        <w:t xml:space="preserve"> Siddiq </w:t>
      </w:r>
      <w:proofErr w:type="spellStart"/>
      <w:r w:rsidRPr="00C613CC">
        <w:rPr>
          <w:rFonts w:ascii="Minion Pro" w:hAnsi="Minion Pro" w:cs="Times New Roman"/>
          <w:bCs/>
          <w:sz w:val="24"/>
          <w:szCs w:val="24"/>
          <w:lang w:val="en-US"/>
        </w:rPr>
        <w:t>sejak</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akhir</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dekade</w:t>
      </w:r>
      <w:proofErr w:type="spellEnd"/>
      <w:r w:rsidRPr="00C613CC">
        <w:rPr>
          <w:rFonts w:ascii="Minion Pro" w:hAnsi="Minion Pro" w:cs="Times New Roman"/>
          <w:bCs/>
          <w:sz w:val="24"/>
          <w:szCs w:val="24"/>
          <w:lang w:val="en-US"/>
        </w:rPr>
        <w:t xml:space="preserve"> 1970-an. </w:t>
      </w:r>
      <w:proofErr w:type="spellStart"/>
      <w:r w:rsidRPr="00C613CC">
        <w:rPr>
          <w:rFonts w:ascii="Minion Pro" w:hAnsi="Minion Pro" w:cs="Times New Roman"/>
          <w:bCs/>
          <w:sz w:val="24"/>
          <w:szCs w:val="24"/>
          <w:lang w:val="en-US"/>
        </w:rPr>
        <w:t>Tampil</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sejumlah</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tokoh</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progresif</w:t>
      </w:r>
      <w:proofErr w:type="spellEnd"/>
      <w:r w:rsidRPr="00C613CC">
        <w:rPr>
          <w:rFonts w:ascii="Minion Pro" w:hAnsi="Minion Pro" w:cs="Times New Roman"/>
          <w:bCs/>
          <w:sz w:val="24"/>
          <w:szCs w:val="24"/>
          <w:lang w:val="en-US"/>
        </w:rPr>
        <w:t xml:space="preserve"> NU yang </w:t>
      </w:r>
      <w:proofErr w:type="spellStart"/>
      <w:r w:rsidRPr="00C613CC">
        <w:rPr>
          <w:rFonts w:ascii="Minion Pro" w:hAnsi="Minion Pro" w:cs="Times New Roman"/>
          <w:bCs/>
          <w:sz w:val="24"/>
          <w:szCs w:val="24"/>
          <w:lang w:val="en-US"/>
        </w:rPr>
        <w:t>menyuarakan</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pembaruan</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pemikiran</w:t>
      </w:r>
      <w:proofErr w:type="spellEnd"/>
      <w:r w:rsidRPr="00C613CC">
        <w:rPr>
          <w:rFonts w:ascii="Minion Pro" w:hAnsi="Minion Pro" w:cs="Times New Roman"/>
          <w:bCs/>
          <w:sz w:val="24"/>
          <w:szCs w:val="24"/>
          <w:lang w:val="en-US"/>
        </w:rPr>
        <w:t xml:space="preserve"> NU, </w:t>
      </w:r>
      <w:proofErr w:type="spellStart"/>
      <w:r w:rsidRPr="00C613CC">
        <w:rPr>
          <w:rFonts w:ascii="Minion Pro" w:hAnsi="Minion Pro" w:cs="Times New Roman"/>
          <w:bCs/>
          <w:sz w:val="24"/>
          <w:szCs w:val="24"/>
          <w:lang w:val="en-US"/>
        </w:rPr>
        <w:t>terutama</w:t>
      </w:r>
      <w:proofErr w:type="spellEnd"/>
      <w:r w:rsidRPr="00C613CC">
        <w:rPr>
          <w:rFonts w:ascii="Minion Pro" w:hAnsi="Minion Pro" w:cs="Times New Roman"/>
          <w:bCs/>
          <w:sz w:val="24"/>
          <w:szCs w:val="24"/>
          <w:lang w:val="en-US"/>
        </w:rPr>
        <w:t xml:space="preserve"> yang </w:t>
      </w:r>
      <w:proofErr w:type="spellStart"/>
      <w:r w:rsidRPr="00C613CC">
        <w:rPr>
          <w:rFonts w:ascii="Minion Pro" w:hAnsi="Minion Pro" w:cs="Times New Roman"/>
          <w:bCs/>
          <w:sz w:val="24"/>
          <w:szCs w:val="24"/>
          <w:lang w:val="en-US"/>
        </w:rPr>
        <w:t>terkait</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dengan</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aspek</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metodologi</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dalam</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Bahtsul</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Masail</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Sebut</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saja</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misalnya</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Kiai</w:t>
      </w:r>
      <w:proofErr w:type="spellEnd"/>
      <w:r w:rsidRPr="00C613CC">
        <w:rPr>
          <w:rFonts w:ascii="Minion Pro" w:hAnsi="Minion Pro" w:cs="Times New Roman"/>
          <w:bCs/>
          <w:sz w:val="24"/>
          <w:szCs w:val="24"/>
          <w:lang w:val="en-US"/>
        </w:rPr>
        <w:t xml:space="preserve"> Abdurrahman Wahid, </w:t>
      </w:r>
      <w:proofErr w:type="spellStart"/>
      <w:r w:rsidRPr="00C613CC">
        <w:rPr>
          <w:rFonts w:ascii="Minion Pro" w:hAnsi="Minion Pro" w:cs="Times New Roman"/>
          <w:bCs/>
          <w:sz w:val="24"/>
          <w:szCs w:val="24"/>
          <w:lang w:val="en-US"/>
        </w:rPr>
        <w:t>Kiai</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Achmad</w:t>
      </w:r>
      <w:proofErr w:type="spellEnd"/>
      <w:r w:rsidRPr="00C613CC">
        <w:rPr>
          <w:rFonts w:ascii="Minion Pro" w:hAnsi="Minion Pro" w:cs="Times New Roman"/>
          <w:bCs/>
          <w:sz w:val="24"/>
          <w:szCs w:val="24"/>
          <w:lang w:val="en-US"/>
        </w:rPr>
        <w:t xml:space="preserve"> Siddiq, </w:t>
      </w:r>
      <w:proofErr w:type="spellStart"/>
      <w:r w:rsidRPr="00C613CC">
        <w:rPr>
          <w:rFonts w:ascii="Minion Pro" w:hAnsi="Minion Pro" w:cs="Times New Roman"/>
          <w:bCs/>
          <w:sz w:val="24"/>
          <w:szCs w:val="24"/>
          <w:lang w:val="en-US"/>
        </w:rPr>
        <w:t>Kiai</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Muchit</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Muzadi</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Kiai</w:t>
      </w:r>
      <w:proofErr w:type="spellEnd"/>
      <w:r w:rsidRPr="00C613CC">
        <w:rPr>
          <w:rFonts w:ascii="Minion Pro" w:hAnsi="Minion Pro" w:cs="Times New Roman"/>
          <w:bCs/>
          <w:sz w:val="24"/>
          <w:szCs w:val="24"/>
          <w:lang w:val="en-US"/>
        </w:rPr>
        <w:t xml:space="preserve"> Ali </w:t>
      </w:r>
      <w:proofErr w:type="spellStart"/>
      <w:r w:rsidRPr="00C613CC">
        <w:rPr>
          <w:rFonts w:ascii="Minion Pro" w:hAnsi="Minion Pro" w:cs="Times New Roman"/>
          <w:bCs/>
          <w:sz w:val="24"/>
          <w:szCs w:val="24"/>
          <w:lang w:val="en-US"/>
        </w:rPr>
        <w:t>Yafie</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Kiai</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Sahal</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Mahfudh</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Kiai</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Imron</w:t>
      </w:r>
      <w:proofErr w:type="spellEnd"/>
      <w:r w:rsidRPr="00C613CC">
        <w:rPr>
          <w:rFonts w:ascii="Minion Pro" w:hAnsi="Minion Pro" w:cs="Times New Roman"/>
          <w:bCs/>
          <w:sz w:val="24"/>
          <w:szCs w:val="24"/>
          <w:lang w:val="en-US"/>
        </w:rPr>
        <w:t xml:space="preserve"> Hamzah, </w:t>
      </w:r>
      <w:proofErr w:type="spellStart"/>
      <w:r w:rsidRPr="00C613CC">
        <w:rPr>
          <w:rFonts w:ascii="Minion Pro" w:hAnsi="Minion Pro" w:cs="Times New Roman"/>
          <w:bCs/>
          <w:sz w:val="24"/>
          <w:szCs w:val="24"/>
          <w:lang w:val="en-US"/>
        </w:rPr>
        <w:t>Kiai</w:t>
      </w:r>
      <w:proofErr w:type="spellEnd"/>
      <w:r w:rsidRPr="00C613CC">
        <w:rPr>
          <w:rFonts w:ascii="Minion Pro" w:hAnsi="Minion Pro" w:cs="Times New Roman"/>
          <w:bCs/>
          <w:sz w:val="24"/>
          <w:szCs w:val="24"/>
          <w:lang w:val="en-US"/>
        </w:rPr>
        <w:t xml:space="preserve"> Aziz </w:t>
      </w:r>
      <w:proofErr w:type="spellStart"/>
      <w:r w:rsidRPr="00C613CC">
        <w:rPr>
          <w:rFonts w:ascii="Minion Pro" w:hAnsi="Minion Pro" w:cs="Times New Roman"/>
          <w:bCs/>
          <w:sz w:val="24"/>
          <w:szCs w:val="24"/>
          <w:lang w:val="en-US"/>
        </w:rPr>
        <w:t>Masyhuri</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Kiai</w:t>
      </w:r>
      <w:proofErr w:type="spellEnd"/>
      <w:r w:rsidRPr="00C613CC">
        <w:rPr>
          <w:rFonts w:ascii="Minion Pro" w:hAnsi="Minion Pro" w:cs="Times New Roman"/>
          <w:bCs/>
          <w:sz w:val="24"/>
          <w:szCs w:val="24"/>
          <w:lang w:val="en-US"/>
        </w:rPr>
        <w:t xml:space="preserve"> </w:t>
      </w:r>
      <w:proofErr w:type="spellStart"/>
      <w:proofErr w:type="gramStart"/>
      <w:r w:rsidRPr="00C613CC">
        <w:rPr>
          <w:rFonts w:ascii="Minion Pro" w:hAnsi="Minion Pro" w:cs="Times New Roman"/>
          <w:bCs/>
          <w:sz w:val="24"/>
          <w:szCs w:val="24"/>
          <w:lang w:val="en-US"/>
        </w:rPr>
        <w:t>Ma‘</w:t>
      </w:r>
      <w:proofErr w:type="gramEnd"/>
      <w:r w:rsidRPr="00C613CC">
        <w:rPr>
          <w:rFonts w:ascii="Minion Pro" w:hAnsi="Minion Pro" w:cs="Times New Roman"/>
          <w:bCs/>
          <w:sz w:val="24"/>
          <w:szCs w:val="24"/>
          <w:lang w:val="en-US"/>
        </w:rPr>
        <w:t>ruf</w:t>
      </w:r>
      <w:proofErr w:type="spellEnd"/>
      <w:r w:rsidRPr="00C613CC">
        <w:rPr>
          <w:rFonts w:ascii="Minion Pro" w:hAnsi="Minion Pro" w:cs="Times New Roman"/>
          <w:bCs/>
          <w:sz w:val="24"/>
          <w:szCs w:val="24"/>
          <w:lang w:val="en-US"/>
        </w:rPr>
        <w:t xml:space="preserve"> Amin, </w:t>
      </w:r>
      <w:proofErr w:type="spellStart"/>
      <w:r w:rsidRPr="00C613CC">
        <w:rPr>
          <w:rFonts w:ascii="Minion Pro" w:hAnsi="Minion Pro" w:cs="Times New Roman"/>
          <w:bCs/>
          <w:sz w:val="24"/>
          <w:szCs w:val="24"/>
          <w:lang w:val="en-US"/>
        </w:rPr>
        <w:t>Kiai</w:t>
      </w:r>
      <w:proofErr w:type="spellEnd"/>
      <w:r w:rsidRPr="00C613CC">
        <w:rPr>
          <w:rFonts w:ascii="Minion Pro" w:hAnsi="Minion Pro" w:cs="Times New Roman"/>
          <w:bCs/>
          <w:sz w:val="24"/>
          <w:szCs w:val="24"/>
          <w:lang w:val="en-US"/>
        </w:rPr>
        <w:t xml:space="preserve"> Masdar F. </w:t>
      </w:r>
      <w:proofErr w:type="spellStart"/>
      <w:r w:rsidRPr="00C613CC">
        <w:rPr>
          <w:rFonts w:ascii="Minion Pro" w:hAnsi="Minion Pro" w:cs="Times New Roman"/>
          <w:bCs/>
          <w:sz w:val="24"/>
          <w:szCs w:val="24"/>
          <w:lang w:val="en-US"/>
        </w:rPr>
        <w:t>Mas‘udi</w:t>
      </w:r>
      <w:proofErr w:type="spellEnd"/>
      <w:r w:rsidRPr="00C613CC">
        <w:rPr>
          <w:rFonts w:ascii="Minion Pro" w:hAnsi="Minion Pro" w:cs="Times New Roman"/>
          <w:bCs/>
          <w:sz w:val="24"/>
          <w:szCs w:val="24"/>
          <w:lang w:val="en-US"/>
        </w:rPr>
        <w:t xml:space="preserve">, dan </w:t>
      </w:r>
      <w:proofErr w:type="spellStart"/>
      <w:r w:rsidRPr="00C613CC">
        <w:rPr>
          <w:rFonts w:ascii="Minion Pro" w:hAnsi="Minion Pro" w:cs="Times New Roman"/>
          <w:bCs/>
          <w:sz w:val="24"/>
          <w:szCs w:val="24"/>
          <w:lang w:val="en-US"/>
        </w:rPr>
        <w:t>Kiai</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Qodri</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Aziziy</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Gagasan</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pembaruan</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itu</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mereka</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gulirkan</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melalui</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serangkaian</w:t>
      </w:r>
      <w:proofErr w:type="spellEnd"/>
      <w:r w:rsidRPr="00C613CC">
        <w:rPr>
          <w:rFonts w:ascii="Minion Pro" w:hAnsi="Minion Pro" w:cs="Times New Roman"/>
          <w:bCs/>
          <w:sz w:val="24"/>
          <w:szCs w:val="24"/>
          <w:lang w:val="en-US"/>
        </w:rPr>
        <w:t xml:space="preserve"> forum </w:t>
      </w:r>
      <w:proofErr w:type="spellStart"/>
      <w:r w:rsidRPr="00C613CC">
        <w:rPr>
          <w:rFonts w:ascii="Minion Pro" w:hAnsi="Minion Pro" w:cs="Times New Roman"/>
          <w:bCs/>
          <w:sz w:val="24"/>
          <w:szCs w:val="24"/>
          <w:lang w:val="en-US"/>
        </w:rPr>
        <w:t>diskusi</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i/>
          <w:iCs/>
          <w:sz w:val="24"/>
          <w:szCs w:val="24"/>
          <w:lang w:val="en-US"/>
        </w:rPr>
        <w:t>halaqah</w:t>
      </w:r>
      <w:proofErr w:type="spellEnd"/>
      <w:r w:rsidRPr="00C613CC">
        <w:rPr>
          <w:rFonts w:ascii="Minion Pro" w:hAnsi="Minion Pro" w:cs="Times New Roman"/>
          <w:bCs/>
          <w:sz w:val="24"/>
          <w:szCs w:val="24"/>
          <w:lang w:val="en-US"/>
        </w:rPr>
        <w:t xml:space="preserve">) yang </w:t>
      </w:r>
      <w:proofErr w:type="spellStart"/>
      <w:r w:rsidRPr="00C613CC">
        <w:rPr>
          <w:rFonts w:ascii="Minion Pro" w:hAnsi="Minion Pro" w:cs="Times New Roman"/>
          <w:bCs/>
          <w:sz w:val="24"/>
          <w:szCs w:val="24"/>
          <w:lang w:val="en-US"/>
        </w:rPr>
        <w:t>mereka</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selenggarakan</w:t>
      </w:r>
      <w:proofErr w:type="spellEnd"/>
      <w:r w:rsidRPr="00C613CC">
        <w:rPr>
          <w:rFonts w:ascii="Minion Pro" w:hAnsi="Minion Pro" w:cs="Times New Roman"/>
          <w:bCs/>
          <w:sz w:val="24"/>
          <w:szCs w:val="24"/>
          <w:lang w:val="en-US"/>
        </w:rPr>
        <w:t xml:space="preserve"> di sela-sela </w:t>
      </w:r>
      <w:proofErr w:type="spellStart"/>
      <w:r w:rsidRPr="00C613CC">
        <w:rPr>
          <w:rFonts w:ascii="Minion Pro" w:hAnsi="Minion Pro" w:cs="Times New Roman"/>
          <w:bCs/>
          <w:sz w:val="24"/>
          <w:szCs w:val="24"/>
          <w:lang w:val="en-US"/>
        </w:rPr>
        <w:t>tiga</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perhelatan</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besar</w:t>
      </w:r>
      <w:proofErr w:type="spellEnd"/>
      <w:r w:rsidRPr="00C613CC">
        <w:rPr>
          <w:rFonts w:ascii="Minion Pro" w:hAnsi="Minion Pro" w:cs="Times New Roman"/>
          <w:bCs/>
          <w:sz w:val="24"/>
          <w:szCs w:val="24"/>
          <w:lang w:val="en-US"/>
        </w:rPr>
        <w:t xml:space="preserve"> NU, </w:t>
      </w:r>
      <w:proofErr w:type="spellStart"/>
      <w:r w:rsidRPr="00C613CC">
        <w:rPr>
          <w:rFonts w:ascii="Minion Pro" w:hAnsi="Minion Pro" w:cs="Times New Roman"/>
          <w:bCs/>
          <w:sz w:val="24"/>
          <w:szCs w:val="24"/>
          <w:lang w:val="en-US"/>
        </w:rPr>
        <w:t>yakni</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Munas</w:t>
      </w:r>
      <w:proofErr w:type="spellEnd"/>
      <w:r w:rsidRPr="00C613CC">
        <w:rPr>
          <w:rFonts w:ascii="Minion Pro" w:hAnsi="Minion Pro" w:cs="Times New Roman"/>
          <w:bCs/>
          <w:sz w:val="24"/>
          <w:szCs w:val="24"/>
          <w:lang w:val="en-US"/>
        </w:rPr>
        <w:t xml:space="preserve"> NU di </w:t>
      </w:r>
      <w:proofErr w:type="spellStart"/>
      <w:r w:rsidRPr="00C613CC">
        <w:rPr>
          <w:rFonts w:ascii="Minion Pro" w:hAnsi="Minion Pro" w:cs="Times New Roman"/>
          <w:bCs/>
          <w:sz w:val="24"/>
          <w:szCs w:val="24"/>
          <w:lang w:val="en-US"/>
        </w:rPr>
        <w:t>Cilacap</w:t>
      </w:r>
      <w:proofErr w:type="spellEnd"/>
      <w:r w:rsidRPr="00C613CC">
        <w:rPr>
          <w:rFonts w:ascii="Minion Pro" w:hAnsi="Minion Pro" w:cs="Times New Roman"/>
          <w:bCs/>
          <w:sz w:val="24"/>
          <w:szCs w:val="24"/>
          <w:lang w:val="en-US"/>
        </w:rPr>
        <w:t xml:space="preserve"> pada </w:t>
      </w:r>
      <w:proofErr w:type="spellStart"/>
      <w:r w:rsidRPr="00C613CC">
        <w:rPr>
          <w:rFonts w:ascii="Minion Pro" w:hAnsi="Minion Pro" w:cs="Times New Roman"/>
          <w:bCs/>
          <w:sz w:val="24"/>
          <w:szCs w:val="24"/>
          <w:lang w:val="en-US"/>
        </w:rPr>
        <w:t>tahun</w:t>
      </w:r>
      <w:proofErr w:type="spellEnd"/>
      <w:r w:rsidRPr="00C613CC">
        <w:rPr>
          <w:rFonts w:ascii="Minion Pro" w:hAnsi="Minion Pro" w:cs="Times New Roman"/>
          <w:bCs/>
          <w:sz w:val="24"/>
          <w:szCs w:val="24"/>
          <w:lang w:val="en-US"/>
        </w:rPr>
        <w:t xml:space="preserve"> 1987, </w:t>
      </w:r>
      <w:proofErr w:type="spellStart"/>
      <w:r w:rsidRPr="00C613CC">
        <w:rPr>
          <w:rFonts w:ascii="Minion Pro" w:hAnsi="Minion Pro" w:cs="Times New Roman"/>
          <w:bCs/>
          <w:sz w:val="24"/>
          <w:szCs w:val="24"/>
          <w:lang w:val="en-US"/>
        </w:rPr>
        <w:t>Muktamar</w:t>
      </w:r>
      <w:proofErr w:type="spellEnd"/>
      <w:r w:rsidRPr="00C613CC">
        <w:rPr>
          <w:rFonts w:ascii="Minion Pro" w:hAnsi="Minion Pro" w:cs="Times New Roman"/>
          <w:bCs/>
          <w:sz w:val="24"/>
          <w:szCs w:val="24"/>
          <w:lang w:val="en-US"/>
        </w:rPr>
        <w:t xml:space="preserve"> NU di </w:t>
      </w:r>
      <w:proofErr w:type="spellStart"/>
      <w:r w:rsidRPr="00C613CC">
        <w:rPr>
          <w:rFonts w:ascii="Minion Pro" w:hAnsi="Minion Pro" w:cs="Times New Roman"/>
          <w:bCs/>
          <w:sz w:val="24"/>
          <w:szCs w:val="24"/>
          <w:lang w:val="en-US"/>
        </w:rPr>
        <w:t>Krapyak</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tahun</w:t>
      </w:r>
      <w:proofErr w:type="spellEnd"/>
      <w:r w:rsidRPr="00C613CC">
        <w:rPr>
          <w:rFonts w:ascii="Minion Pro" w:hAnsi="Minion Pro" w:cs="Times New Roman"/>
          <w:bCs/>
          <w:sz w:val="24"/>
          <w:szCs w:val="24"/>
          <w:lang w:val="en-US"/>
        </w:rPr>
        <w:t xml:space="preserve"> 1989, dan </w:t>
      </w:r>
      <w:proofErr w:type="spellStart"/>
      <w:r w:rsidRPr="00C613CC">
        <w:rPr>
          <w:rFonts w:ascii="Minion Pro" w:hAnsi="Minion Pro" w:cs="Times New Roman"/>
          <w:bCs/>
          <w:sz w:val="24"/>
          <w:szCs w:val="24"/>
          <w:lang w:val="en-US"/>
        </w:rPr>
        <w:t>Munas</w:t>
      </w:r>
      <w:proofErr w:type="spellEnd"/>
      <w:r w:rsidRPr="00C613CC">
        <w:rPr>
          <w:rFonts w:ascii="Minion Pro" w:hAnsi="Minion Pro" w:cs="Times New Roman"/>
          <w:bCs/>
          <w:sz w:val="24"/>
          <w:szCs w:val="24"/>
          <w:lang w:val="en-US"/>
        </w:rPr>
        <w:t xml:space="preserve"> NU di Lampung pada </w:t>
      </w:r>
      <w:proofErr w:type="spellStart"/>
      <w:r w:rsidRPr="00C613CC">
        <w:rPr>
          <w:rFonts w:ascii="Minion Pro" w:hAnsi="Minion Pro" w:cs="Times New Roman"/>
          <w:bCs/>
          <w:sz w:val="24"/>
          <w:szCs w:val="24"/>
          <w:lang w:val="en-US"/>
        </w:rPr>
        <w:t>tahun</w:t>
      </w:r>
      <w:proofErr w:type="spellEnd"/>
      <w:r w:rsidRPr="00C613CC">
        <w:rPr>
          <w:rFonts w:ascii="Minion Pro" w:hAnsi="Minion Pro" w:cs="Times New Roman"/>
          <w:bCs/>
          <w:sz w:val="24"/>
          <w:szCs w:val="24"/>
          <w:lang w:val="en-US"/>
        </w:rPr>
        <w:t xml:space="preserve"> 1992.</w:t>
      </w:r>
      <w:r w:rsidRPr="00C613CC">
        <w:rPr>
          <w:rFonts w:ascii="Minion Pro" w:hAnsi="Minion Pro" w:cs="Times New Roman"/>
          <w:bCs/>
          <w:sz w:val="24"/>
          <w:szCs w:val="24"/>
          <w:vertAlign w:val="superscript"/>
          <w:lang w:val="en-US"/>
        </w:rPr>
        <w:footnoteReference w:id="21"/>
      </w:r>
      <w:r w:rsidRPr="00C613CC">
        <w:rPr>
          <w:rFonts w:ascii="Minion Pro" w:hAnsi="Minion Pro" w:cs="Times New Roman"/>
          <w:bCs/>
          <w:sz w:val="24"/>
          <w:szCs w:val="24"/>
          <w:lang w:val="en-US"/>
        </w:rPr>
        <w:t xml:space="preserve"> </w:t>
      </w:r>
    </w:p>
    <w:p w14:paraId="3735A5D2" w14:textId="77777777" w:rsidR="00C613CC" w:rsidRPr="00C613CC" w:rsidRDefault="00C613CC" w:rsidP="00C613CC">
      <w:pPr>
        <w:spacing w:line="240" w:lineRule="auto"/>
        <w:jc w:val="both"/>
        <w:rPr>
          <w:rFonts w:ascii="Minion Pro" w:hAnsi="Minion Pro" w:cs="Times New Roman"/>
          <w:bCs/>
          <w:sz w:val="24"/>
          <w:szCs w:val="24"/>
          <w:lang w:val="en-US"/>
        </w:rPr>
      </w:pPr>
      <w:proofErr w:type="spellStart"/>
      <w:r w:rsidRPr="00C613CC">
        <w:rPr>
          <w:rFonts w:ascii="Minion Pro" w:hAnsi="Minion Pro" w:cs="Times New Roman"/>
          <w:bCs/>
          <w:sz w:val="24"/>
          <w:szCs w:val="24"/>
          <w:lang w:val="en-US"/>
        </w:rPr>
        <w:t>Substansi</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gagasan</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mereka</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adalah</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kontekstualisasi</w:t>
      </w:r>
      <w:proofErr w:type="spellEnd"/>
      <w:r w:rsidRPr="00C613CC">
        <w:rPr>
          <w:rFonts w:ascii="Minion Pro" w:hAnsi="Minion Pro" w:cs="Times New Roman"/>
          <w:bCs/>
          <w:sz w:val="24"/>
          <w:szCs w:val="24"/>
          <w:lang w:val="en-US"/>
        </w:rPr>
        <w:t xml:space="preserve"> kitab </w:t>
      </w:r>
      <w:proofErr w:type="spellStart"/>
      <w:r w:rsidRPr="00C613CC">
        <w:rPr>
          <w:rFonts w:ascii="Minion Pro" w:hAnsi="Minion Pro" w:cs="Times New Roman"/>
          <w:bCs/>
          <w:sz w:val="24"/>
          <w:szCs w:val="24"/>
          <w:lang w:val="en-US"/>
        </w:rPr>
        <w:t>kuning</w:t>
      </w:r>
      <w:proofErr w:type="spellEnd"/>
      <w:r w:rsidRPr="00C613CC">
        <w:rPr>
          <w:rFonts w:ascii="Minion Pro" w:hAnsi="Minion Pro" w:cs="Times New Roman"/>
          <w:bCs/>
          <w:sz w:val="24"/>
          <w:szCs w:val="24"/>
          <w:lang w:val="en-US"/>
        </w:rPr>
        <w:t xml:space="preserve"> dan </w:t>
      </w:r>
      <w:proofErr w:type="spellStart"/>
      <w:r w:rsidRPr="00C613CC">
        <w:rPr>
          <w:rFonts w:ascii="Minion Pro" w:hAnsi="Minion Pro" w:cs="Times New Roman"/>
          <w:bCs/>
          <w:sz w:val="24"/>
          <w:szCs w:val="24"/>
          <w:lang w:val="en-US"/>
        </w:rPr>
        <w:t>redefinisi</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bermazhab</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Gagasan</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kontekstualisasi</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mereka</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gulirkan</w:t>
      </w:r>
      <w:proofErr w:type="spellEnd"/>
      <w:r w:rsidRPr="00C613CC">
        <w:rPr>
          <w:rFonts w:ascii="Minion Pro" w:hAnsi="Minion Pro" w:cs="Times New Roman"/>
          <w:bCs/>
          <w:sz w:val="24"/>
          <w:szCs w:val="24"/>
          <w:lang w:val="en-US"/>
        </w:rPr>
        <w:t xml:space="preserve"> pada forum-forum </w:t>
      </w:r>
      <w:proofErr w:type="spellStart"/>
      <w:r w:rsidRPr="00C613CC">
        <w:rPr>
          <w:rFonts w:ascii="Minion Pro" w:hAnsi="Minion Pro" w:cs="Times New Roman"/>
          <w:bCs/>
          <w:i/>
          <w:iCs/>
          <w:sz w:val="24"/>
          <w:szCs w:val="24"/>
          <w:lang w:val="en-US"/>
        </w:rPr>
        <w:t>halaqah</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menjelang</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Munas</w:t>
      </w:r>
      <w:proofErr w:type="spellEnd"/>
      <w:r w:rsidRPr="00C613CC">
        <w:rPr>
          <w:rFonts w:ascii="Minion Pro" w:hAnsi="Minion Pro" w:cs="Times New Roman"/>
          <w:bCs/>
          <w:sz w:val="24"/>
          <w:szCs w:val="24"/>
          <w:lang w:val="en-US"/>
        </w:rPr>
        <w:t xml:space="preserve"> NU di </w:t>
      </w:r>
      <w:proofErr w:type="spellStart"/>
      <w:r w:rsidRPr="00C613CC">
        <w:rPr>
          <w:rFonts w:ascii="Minion Pro" w:hAnsi="Minion Pro" w:cs="Times New Roman"/>
          <w:bCs/>
          <w:sz w:val="24"/>
          <w:szCs w:val="24"/>
          <w:lang w:val="en-US"/>
        </w:rPr>
        <w:t>Cilacap</w:t>
      </w:r>
      <w:proofErr w:type="spellEnd"/>
      <w:r w:rsidRPr="00C613CC">
        <w:rPr>
          <w:rFonts w:ascii="Minion Pro" w:hAnsi="Minion Pro" w:cs="Times New Roman"/>
          <w:bCs/>
          <w:sz w:val="24"/>
          <w:szCs w:val="24"/>
          <w:lang w:val="en-US"/>
        </w:rPr>
        <w:t xml:space="preserve"> pada </w:t>
      </w:r>
      <w:proofErr w:type="spellStart"/>
      <w:r w:rsidRPr="00C613CC">
        <w:rPr>
          <w:rFonts w:ascii="Minion Pro" w:hAnsi="Minion Pro" w:cs="Times New Roman"/>
          <w:bCs/>
          <w:sz w:val="24"/>
          <w:szCs w:val="24"/>
          <w:lang w:val="en-US"/>
        </w:rPr>
        <w:t>tahun</w:t>
      </w:r>
      <w:proofErr w:type="spellEnd"/>
      <w:r w:rsidRPr="00C613CC">
        <w:rPr>
          <w:rFonts w:ascii="Minion Pro" w:hAnsi="Minion Pro" w:cs="Times New Roman"/>
          <w:bCs/>
          <w:sz w:val="24"/>
          <w:szCs w:val="24"/>
          <w:lang w:val="en-US"/>
        </w:rPr>
        <w:t xml:space="preserve"> 1987. </w:t>
      </w:r>
      <w:proofErr w:type="spellStart"/>
      <w:r w:rsidRPr="00C613CC">
        <w:rPr>
          <w:rFonts w:ascii="Minion Pro" w:hAnsi="Minion Pro" w:cs="Times New Roman"/>
          <w:bCs/>
          <w:sz w:val="24"/>
          <w:szCs w:val="24"/>
          <w:lang w:val="en-US"/>
        </w:rPr>
        <w:t>Hanya</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saja</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sekalipun</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sempat</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lastRenderedPageBreak/>
        <w:t>mempublikasikan</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hasil</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diskusinya</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melalui</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i/>
          <w:iCs/>
          <w:sz w:val="24"/>
          <w:szCs w:val="24"/>
          <w:lang w:val="en-US"/>
        </w:rPr>
        <w:t>Jurnal</w:t>
      </w:r>
      <w:proofErr w:type="spellEnd"/>
      <w:r w:rsidRPr="00C613CC">
        <w:rPr>
          <w:rFonts w:ascii="Minion Pro" w:hAnsi="Minion Pro" w:cs="Times New Roman"/>
          <w:bCs/>
          <w:i/>
          <w:iCs/>
          <w:sz w:val="24"/>
          <w:szCs w:val="24"/>
          <w:lang w:val="en-US"/>
        </w:rPr>
        <w:t xml:space="preserve"> </w:t>
      </w:r>
      <w:proofErr w:type="spellStart"/>
      <w:r w:rsidRPr="00C613CC">
        <w:rPr>
          <w:rFonts w:ascii="Minion Pro" w:hAnsi="Minion Pro" w:cs="Times New Roman"/>
          <w:bCs/>
          <w:i/>
          <w:iCs/>
          <w:sz w:val="24"/>
          <w:szCs w:val="24"/>
          <w:lang w:val="en-US"/>
        </w:rPr>
        <w:t>Pesantren</w:t>
      </w:r>
      <w:proofErr w:type="spellEnd"/>
      <w:r w:rsidRPr="00C613CC">
        <w:rPr>
          <w:rFonts w:ascii="Minion Pro" w:hAnsi="Minion Pro" w:cs="Times New Roman"/>
          <w:bCs/>
          <w:sz w:val="24"/>
          <w:szCs w:val="24"/>
          <w:lang w:val="en-US"/>
        </w:rPr>
        <w:t xml:space="preserve">, forum </w:t>
      </w:r>
      <w:proofErr w:type="spellStart"/>
      <w:r w:rsidRPr="00C613CC">
        <w:rPr>
          <w:rFonts w:ascii="Cambria" w:hAnsi="Cambria" w:cs="Cambria"/>
          <w:bCs/>
          <w:i/>
          <w:iCs/>
          <w:sz w:val="24"/>
          <w:szCs w:val="24"/>
          <w:lang w:val="en-US"/>
        </w:rPr>
        <w:t>ḥ</w:t>
      </w:r>
      <w:r w:rsidRPr="00C613CC">
        <w:rPr>
          <w:rFonts w:ascii="Minion Pro" w:hAnsi="Minion Pro" w:cs="Times New Roman"/>
          <w:bCs/>
          <w:i/>
          <w:iCs/>
          <w:sz w:val="24"/>
          <w:szCs w:val="24"/>
          <w:lang w:val="en-US"/>
        </w:rPr>
        <w:t>alaqah</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tersebut</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terpaksa</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berpindah</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tempat</w:t>
      </w:r>
      <w:proofErr w:type="spellEnd"/>
      <w:r w:rsidRPr="00C613CC">
        <w:rPr>
          <w:rFonts w:ascii="Minion Pro" w:hAnsi="Minion Pro" w:cs="Times New Roman"/>
          <w:bCs/>
          <w:sz w:val="24"/>
          <w:szCs w:val="24"/>
          <w:lang w:val="en-US"/>
        </w:rPr>
        <w:t xml:space="preserve"> dan </w:t>
      </w:r>
      <w:proofErr w:type="spellStart"/>
      <w:r w:rsidRPr="00C613CC">
        <w:rPr>
          <w:rFonts w:ascii="Minion Pro" w:hAnsi="Minion Pro" w:cs="Times New Roman"/>
          <w:bCs/>
          <w:sz w:val="24"/>
          <w:szCs w:val="24"/>
          <w:lang w:val="en-US"/>
        </w:rPr>
        <w:t>bahkan</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sempat</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dihentikan</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sementara</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menyusul</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munculnya</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suara</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keberatan</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dari</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sejumlah</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kiai</w:t>
      </w:r>
      <w:proofErr w:type="spellEnd"/>
      <w:r w:rsidRPr="00C613CC">
        <w:rPr>
          <w:rFonts w:ascii="Minion Pro" w:hAnsi="Minion Pro" w:cs="Times New Roman"/>
          <w:bCs/>
          <w:sz w:val="24"/>
          <w:szCs w:val="24"/>
          <w:lang w:val="en-US"/>
        </w:rPr>
        <w:t xml:space="preserve"> senior NU.</w:t>
      </w:r>
      <w:r w:rsidRPr="00C613CC">
        <w:rPr>
          <w:rFonts w:ascii="Minion Pro" w:hAnsi="Minion Pro" w:cs="Times New Roman"/>
          <w:bCs/>
          <w:sz w:val="24"/>
          <w:szCs w:val="24"/>
          <w:vertAlign w:val="superscript"/>
          <w:lang w:val="en-US"/>
        </w:rPr>
        <w:footnoteReference w:id="22"/>
      </w:r>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Setahun</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berikutnya</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atas</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dukungan</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Kiai</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Sahal</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Mahfudh</w:t>
      </w:r>
      <w:proofErr w:type="spellEnd"/>
      <w:r w:rsidRPr="00C613CC">
        <w:rPr>
          <w:rFonts w:ascii="Minion Pro" w:hAnsi="Minion Pro" w:cs="Times New Roman"/>
          <w:bCs/>
          <w:sz w:val="24"/>
          <w:szCs w:val="24"/>
          <w:lang w:val="en-US"/>
        </w:rPr>
        <w:t xml:space="preserve"> dan </w:t>
      </w:r>
      <w:proofErr w:type="spellStart"/>
      <w:r w:rsidRPr="00C613CC">
        <w:rPr>
          <w:rFonts w:ascii="Minion Pro" w:hAnsi="Minion Pro" w:cs="Times New Roman"/>
          <w:bCs/>
          <w:sz w:val="24"/>
          <w:szCs w:val="24"/>
          <w:lang w:val="en-US"/>
        </w:rPr>
        <w:t>Kiai</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Imron</w:t>
      </w:r>
      <w:proofErr w:type="spellEnd"/>
      <w:r w:rsidRPr="00C613CC">
        <w:rPr>
          <w:rFonts w:ascii="Minion Pro" w:hAnsi="Minion Pro" w:cs="Times New Roman"/>
          <w:bCs/>
          <w:sz w:val="24"/>
          <w:szCs w:val="24"/>
          <w:lang w:val="en-US"/>
        </w:rPr>
        <w:t xml:space="preserve"> Hamzah, </w:t>
      </w:r>
      <w:proofErr w:type="spellStart"/>
      <w:r w:rsidRPr="00C613CC">
        <w:rPr>
          <w:rFonts w:ascii="Minion Pro" w:hAnsi="Minion Pro" w:cs="Times New Roman"/>
          <w:bCs/>
          <w:sz w:val="24"/>
          <w:szCs w:val="24"/>
          <w:lang w:val="en-US"/>
        </w:rPr>
        <w:t>gagasan</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itu</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kembali</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dibahas</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melalui</w:t>
      </w:r>
      <w:proofErr w:type="spellEnd"/>
      <w:r w:rsidRPr="00C613CC">
        <w:rPr>
          <w:rFonts w:ascii="Minion Pro" w:hAnsi="Minion Pro" w:cs="Times New Roman"/>
          <w:bCs/>
          <w:sz w:val="24"/>
          <w:szCs w:val="24"/>
          <w:lang w:val="en-US"/>
        </w:rPr>
        <w:t xml:space="preserve"> forum seminar di </w:t>
      </w:r>
      <w:proofErr w:type="spellStart"/>
      <w:r w:rsidRPr="00C613CC">
        <w:rPr>
          <w:rFonts w:ascii="Minion Pro" w:hAnsi="Minion Pro" w:cs="Times New Roman"/>
          <w:bCs/>
          <w:sz w:val="24"/>
          <w:szCs w:val="24"/>
          <w:lang w:val="en-US"/>
        </w:rPr>
        <w:t>Watucongol</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Muntilan</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Magelang</w:t>
      </w:r>
      <w:proofErr w:type="spellEnd"/>
      <w:r w:rsidRPr="00C613CC">
        <w:rPr>
          <w:rFonts w:ascii="Minion Pro" w:hAnsi="Minion Pro" w:cs="Times New Roman"/>
          <w:bCs/>
          <w:sz w:val="24"/>
          <w:szCs w:val="24"/>
          <w:lang w:val="en-US"/>
        </w:rPr>
        <w:t xml:space="preserve">, pada </w:t>
      </w:r>
      <w:proofErr w:type="spellStart"/>
      <w:r w:rsidRPr="00C613CC">
        <w:rPr>
          <w:rFonts w:ascii="Minion Pro" w:hAnsi="Minion Pro" w:cs="Times New Roman"/>
          <w:bCs/>
          <w:sz w:val="24"/>
          <w:szCs w:val="24"/>
          <w:lang w:val="en-US"/>
        </w:rPr>
        <w:t>bulan</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Desember</w:t>
      </w:r>
      <w:proofErr w:type="spellEnd"/>
      <w:r w:rsidRPr="00C613CC">
        <w:rPr>
          <w:rFonts w:ascii="Minion Pro" w:hAnsi="Minion Pro" w:cs="Times New Roman"/>
          <w:bCs/>
          <w:sz w:val="24"/>
          <w:szCs w:val="24"/>
          <w:lang w:val="en-US"/>
        </w:rPr>
        <w:t xml:space="preserve"> 1988. </w:t>
      </w:r>
      <w:proofErr w:type="spellStart"/>
      <w:r w:rsidRPr="00C613CC">
        <w:rPr>
          <w:rFonts w:ascii="Minion Pro" w:hAnsi="Minion Pro" w:cs="Times New Roman"/>
          <w:bCs/>
          <w:sz w:val="24"/>
          <w:szCs w:val="24"/>
          <w:lang w:val="en-US"/>
        </w:rPr>
        <w:t>Selain</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menegaskan</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kontekstualisasi</w:t>
      </w:r>
      <w:proofErr w:type="spellEnd"/>
      <w:r w:rsidRPr="00C613CC">
        <w:rPr>
          <w:rFonts w:ascii="Minion Pro" w:hAnsi="Minion Pro" w:cs="Times New Roman"/>
          <w:bCs/>
          <w:sz w:val="24"/>
          <w:szCs w:val="24"/>
          <w:lang w:val="en-US"/>
        </w:rPr>
        <w:t xml:space="preserve">, forum </w:t>
      </w:r>
      <w:proofErr w:type="spellStart"/>
      <w:r w:rsidRPr="00C613CC">
        <w:rPr>
          <w:rFonts w:ascii="Minion Pro" w:hAnsi="Minion Pro" w:cs="Times New Roman"/>
          <w:bCs/>
          <w:sz w:val="24"/>
          <w:szCs w:val="24"/>
          <w:lang w:val="en-US"/>
        </w:rPr>
        <w:t>tersebut</w:t>
      </w:r>
      <w:proofErr w:type="spellEnd"/>
      <w:r w:rsidRPr="00C613CC">
        <w:rPr>
          <w:rFonts w:ascii="Minion Pro" w:hAnsi="Minion Pro" w:cs="Times New Roman"/>
          <w:bCs/>
          <w:sz w:val="24"/>
          <w:szCs w:val="24"/>
          <w:lang w:val="en-US"/>
        </w:rPr>
        <w:t xml:space="preserve"> juga </w:t>
      </w:r>
      <w:proofErr w:type="spellStart"/>
      <w:r w:rsidRPr="00C613CC">
        <w:rPr>
          <w:rFonts w:ascii="Minion Pro" w:hAnsi="Minion Pro" w:cs="Times New Roman"/>
          <w:bCs/>
          <w:sz w:val="24"/>
          <w:szCs w:val="24"/>
          <w:lang w:val="en-US"/>
        </w:rPr>
        <w:t>merekomendasikan</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pentingnya</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kajian</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perbandingan</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i/>
          <w:iCs/>
          <w:sz w:val="24"/>
          <w:szCs w:val="24"/>
          <w:lang w:val="en-US"/>
        </w:rPr>
        <w:t>muqābalah</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dengan</w:t>
      </w:r>
      <w:proofErr w:type="spellEnd"/>
      <w:r w:rsidRPr="00C613CC">
        <w:rPr>
          <w:rFonts w:ascii="Minion Pro" w:hAnsi="Minion Pro" w:cs="Times New Roman"/>
          <w:bCs/>
          <w:sz w:val="24"/>
          <w:szCs w:val="24"/>
          <w:lang w:val="en-US"/>
        </w:rPr>
        <w:t xml:space="preserve"> kitab dan </w:t>
      </w:r>
      <w:proofErr w:type="spellStart"/>
      <w:r w:rsidRPr="00C613CC">
        <w:rPr>
          <w:rFonts w:ascii="Minion Pro" w:hAnsi="Minion Pro" w:cs="Times New Roman"/>
          <w:bCs/>
          <w:sz w:val="24"/>
          <w:szCs w:val="24"/>
          <w:lang w:val="en-US"/>
        </w:rPr>
        <w:t>mazhab</w:t>
      </w:r>
      <w:proofErr w:type="spellEnd"/>
      <w:r w:rsidRPr="00C613CC">
        <w:rPr>
          <w:rFonts w:ascii="Minion Pro" w:hAnsi="Minion Pro" w:cs="Times New Roman"/>
          <w:bCs/>
          <w:sz w:val="24"/>
          <w:szCs w:val="24"/>
          <w:lang w:val="en-US"/>
        </w:rPr>
        <w:t xml:space="preserve"> lain </w:t>
      </w:r>
      <w:proofErr w:type="spellStart"/>
      <w:r w:rsidRPr="00C613CC">
        <w:rPr>
          <w:rFonts w:ascii="Minion Pro" w:hAnsi="Minion Pro" w:cs="Times New Roman"/>
          <w:bCs/>
          <w:sz w:val="24"/>
          <w:szCs w:val="24"/>
          <w:lang w:val="en-US"/>
        </w:rPr>
        <w:t>serta</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pentingnya</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kajian</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lintas-disiplin</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ilmu</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terkait</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dengan</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materi</w:t>
      </w:r>
      <w:proofErr w:type="spellEnd"/>
      <w:r w:rsidRPr="00C613CC">
        <w:rPr>
          <w:rFonts w:ascii="Minion Pro" w:hAnsi="Minion Pro" w:cs="Times New Roman"/>
          <w:bCs/>
          <w:sz w:val="24"/>
          <w:szCs w:val="24"/>
          <w:lang w:val="en-US"/>
        </w:rPr>
        <w:t xml:space="preserve"> yang </w:t>
      </w:r>
      <w:proofErr w:type="spellStart"/>
      <w:r w:rsidRPr="00C613CC">
        <w:rPr>
          <w:rFonts w:ascii="Minion Pro" w:hAnsi="Minion Pro" w:cs="Times New Roman"/>
          <w:bCs/>
          <w:sz w:val="24"/>
          <w:szCs w:val="24"/>
          <w:lang w:val="en-US"/>
        </w:rPr>
        <w:t>tercantum</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dalam</w:t>
      </w:r>
      <w:proofErr w:type="spellEnd"/>
      <w:r w:rsidRPr="00C613CC">
        <w:rPr>
          <w:rFonts w:ascii="Minion Pro" w:hAnsi="Minion Pro" w:cs="Times New Roman"/>
          <w:bCs/>
          <w:sz w:val="24"/>
          <w:szCs w:val="24"/>
          <w:lang w:val="en-US"/>
        </w:rPr>
        <w:t xml:space="preserve"> kitab </w:t>
      </w:r>
      <w:proofErr w:type="spellStart"/>
      <w:r w:rsidRPr="00C613CC">
        <w:rPr>
          <w:rFonts w:ascii="Minion Pro" w:hAnsi="Minion Pro" w:cs="Times New Roman"/>
          <w:bCs/>
          <w:sz w:val="24"/>
          <w:szCs w:val="24"/>
          <w:lang w:val="en-US"/>
        </w:rPr>
        <w:t>kuning</w:t>
      </w:r>
      <w:proofErr w:type="spellEnd"/>
      <w:r w:rsidRPr="00C613CC">
        <w:rPr>
          <w:rFonts w:ascii="Minion Pro" w:hAnsi="Minion Pro" w:cs="Times New Roman"/>
          <w:bCs/>
          <w:sz w:val="24"/>
          <w:szCs w:val="24"/>
          <w:lang w:val="en-US"/>
        </w:rPr>
        <w:t>.</w:t>
      </w:r>
      <w:r w:rsidRPr="00C613CC">
        <w:rPr>
          <w:rFonts w:ascii="Minion Pro" w:hAnsi="Minion Pro" w:cs="Times New Roman"/>
          <w:bCs/>
          <w:sz w:val="24"/>
          <w:szCs w:val="24"/>
          <w:vertAlign w:val="superscript"/>
          <w:lang w:val="en-US"/>
        </w:rPr>
        <w:footnoteReference w:id="23"/>
      </w:r>
    </w:p>
    <w:p w14:paraId="2B1F63DC" w14:textId="77777777" w:rsidR="00C613CC" w:rsidRDefault="00C613CC" w:rsidP="00C613CC">
      <w:pPr>
        <w:spacing w:line="240" w:lineRule="auto"/>
        <w:jc w:val="both"/>
        <w:rPr>
          <w:rFonts w:ascii="Minion Pro" w:hAnsi="Minion Pro" w:cs="Times New Roman"/>
          <w:bCs/>
          <w:sz w:val="24"/>
          <w:szCs w:val="24"/>
          <w:lang w:val="en-US"/>
        </w:rPr>
      </w:pPr>
      <w:proofErr w:type="spellStart"/>
      <w:r w:rsidRPr="00C613CC">
        <w:rPr>
          <w:rFonts w:ascii="Minion Pro" w:hAnsi="Minion Pro" w:cs="Times New Roman"/>
          <w:bCs/>
          <w:sz w:val="24"/>
          <w:szCs w:val="24"/>
          <w:lang w:val="en-US"/>
        </w:rPr>
        <w:t>Gagasan</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redefinisi</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bermazhab</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mulai</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mengemuka</w:t>
      </w:r>
      <w:proofErr w:type="spellEnd"/>
      <w:r w:rsidRPr="00C613CC">
        <w:rPr>
          <w:rFonts w:ascii="Minion Pro" w:hAnsi="Minion Pro" w:cs="Times New Roman"/>
          <w:bCs/>
          <w:sz w:val="24"/>
          <w:szCs w:val="24"/>
          <w:lang w:val="en-US"/>
        </w:rPr>
        <w:t xml:space="preserve"> pada forum </w:t>
      </w:r>
      <w:proofErr w:type="spellStart"/>
      <w:r w:rsidRPr="00C613CC">
        <w:rPr>
          <w:rFonts w:ascii="Cambria" w:hAnsi="Cambria" w:cs="Cambria"/>
          <w:bCs/>
          <w:i/>
          <w:iCs/>
          <w:sz w:val="24"/>
          <w:szCs w:val="24"/>
          <w:lang w:val="en-US"/>
        </w:rPr>
        <w:t>ḥ</w:t>
      </w:r>
      <w:r w:rsidRPr="00C613CC">
        <w:rPr>
          <w:rFonts w:ascii="Minion Pro" w:hAnsi="Minion Pro" w:cs="Times New Roman"/>
          <w:bCs/>
          <w:i/>
          <w:iCs/>
          <w:sz w:val="24"/>
          <w:szCs w:val="24"/>
          <w:lang w:val="en-US"/>
        </w:rPr>
        <w:t>alaqah</w:t>
      </w:r>
      <w:proofErr w:type="spellEnd"/>
      <w:r w:rsidRPr="00C613CC">
        <w:rPr>
          <w:rFonts w:ascii="Minion Pro" w:hAnsi="Minion Pro" w:cs="Times New Roman"/>
          <w:bCs/>
          <w:sz w:val="24"/>
          <w:szCs w:val="24"/>
          <w:lang w:val="en-US"/>
        </w:rPr>
        <w:t xml:space="preserve"> yang </w:t>
      </w:r>
      <w:proofErr w:type="spellStart"/>
      <w:r w:rsidRPr="00C613CC">
        <w:rPr>
          <w:rFonts w:ascii="Minion Pro" w:hAnsi="Minion Pro" w:cs="Times New Roman"/>
          <w:bCs/>
          <w:sz w:val="24"/>
          <w:szCs w:val="24"/>
          <w:lang w:val="en-US"/>
        </w:rPr>
        <w:t>diselenggarakan</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menjelang</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Muktamar</w:t>
      </w:r>
      <w:proofErr w:type="spellEnd"/>
      <w:r w:rsidRPr="00C613CC">
        <w:rPr>
          <w:rFonts w:ascii="Minion Pro" w:hAnsi="Minion Pro" w:cs="Times New Roman"/>
          <w:bCs/>
          <w:sz w:val="24"/>
          <w:szCs w:val="24"/>
          <w:lang w:val="en-US"/>
        </w:rPr>
        <w:t xml:space="preserve"> NU di </w:t>
      </w:r>
      <w:proofErr w:type="spellStart"/>
      <w:r w:rsidRPr="00C613CC">
        <w:rPr>
          <w:rFonts w:ascii="Minion Pro" w:hAnsi="Minion Pro" w:cs="Times New Roman"/>
          <w:bCs/>
          <w:sz w:val="24"/>
          <w:szCs w:val="24"/>
          <w:lang w:val="en-US"/>
        </w:rPr>
        <w:t>Krapyak</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tahun</w:t>
      </w:r>
      <w:proofErr w:type="spellEnd"/>
      <w:r w:rsidRPr="00C613CC">
        <w:rPr>
          <w:rFonts w:ascii="Minion Pro" w:hAnsi="Minion Pro" w:cs="Times New Roman"/>
          <w:bCs/>
          <w:sz w:val="24"/>
          <w:szCs w:val="24"/>
          <w:lang w:val="en-US"/>
        </w:rPr>
        <w:t xml:space="preserve"> 1989. Pada forum yang </w:t>
      </w:r>
      <w:proofErr w:type="spellStart"/>
      <w:r w:rsidRPr="00C613CC">
        <w:rPr>
          <w:rFonts w:ascii="Minion Pro" w:hAnsi="Minion Pro" w:cs="Times New Roman"/>
          <w:bCs/>
          <w:sz w:val="24"/>
          <w:szCs w:val="24"/>
          <w:lang w:val="en-US"/>
        </w:rPr>
        <w:t>bertajuk</w:t>
      </w:r>
      <w:proofErr w:type="spellEnd"/>
      <w:r w:rsidRPr="00C613CC">
        <w:rPr>
          <w:rFonts w:ascii="Minion Pro" w:hAnsi="Minion Pro" w:cs="Times New Roman"/>
          <w:bCs/>
          <w:sz w:val="24"/>
          <w:szCs w:val="24"/>
          <w:lang w:val="en-US"/>
        </w:rPr>
        <w:t xml:space="preserve"> “Masa </w:t>
      </w:r>
      <w:proofErr w:type="spellStart"/>
      <w:r w:rsidRPr="00C613CC">
        <w:rPr>
          <w:rFonts w:ascii="Minion Pro" w:hAnsi="Minion Pro" w:cs="Times New Roman"/>
          <w:bCs/>
          <w:sz w:val="24"/>
          <w:szCs w:val="24"/>
          <w:lang w:val="en-US"/>
        </w:rPr>
        <w:t>Depan</w:t>
      </w:r>
      <w:proofErr w:type="spellEnd"/>
      <w:r w:rsidRPr="00C613CC">
        <w:rPr>
          <w:rFonts w:ascii="Minion Pro" w:hAnsi="Minion Pro" w:cs="Times New Roman"/>
          <w:bCs/>
          <w:sz w:val="24"/>
          <w:szCs w:val="24"/>
          <w:lang w:val="en-US"/>
        </w:rPr>
        <w:t xml:space="preserve"> NU” </w:t>
      </w:r>
      <w:proofErr w:type="spellStart"/>
      <w:r w:rsidRPr="00C613CC">
        <w:rPr>
          <w:rFonts w:ascii="Minion Pro" w:hAnsi="Minion Pro" w:cs="Times New Roman"/>
          <w:bCs/>
          <w:sz w:val="24"/>
          <w:szCs w:val="24"/>
          <w:lang w:val="en-US"/>
        </w:rPr>
        <w:t>tersebut</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Kiai</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Qodri</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Azizy</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melontarkan</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gagasan</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bermazhab</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secara</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metodologis</w:t>
      </w:r>
      <w:proofErr w:type="spellEnd"/>
      <w:r w:rsidRPr="00C613CC">
        <w:rPr>
          <w:rFonts w:ascii="Minion Pro" w:hAnsi="Minion Pro" w:cs="Times New Roman"/>
          <w:bCs/>
          <w:sz w:val="24"/>
          <w:szCs w:val="24"/>
          <w:lang w:val="en-US"/>
        </w:rPr>
        <w:t>” (</w:t>
      </w:r>
      <w:proofErr w:type="spellStart"/>
      <w:r w:rsidRPr="00C613CC">
        <w:rPr>
          <w:rFonts w:ascii="Minion Pro" w:hAnsi="Minion Pro" w:cs="Times New Roman"/>
          <w:bCs/>
          <w:sz w:val="24"/>
          <w:szCs w:val="24"/>
          <w:lang w:val="en-US"/>
        </w:rPr>
        <w:t>bermazhab</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i/>
          <w:iCs/>
          <w:sz w:val="24"/>
          <w:szCs w:val="24"/>
          <w:lang w:val="en-US"/>
        </w:rPr>
        <w:t>fī</w:t>
      </w:r>
      <w:proofErr w:type="spellEnd"/>
      <w:r w:rsidRPr="00C613CC">
        <w:rPr>
          <w:rFonts w:ascii="Minion Pro" w:hAnsi="Minion Pro" w:cs="Times New Roman"/>
          <w:bCs/>
          <w:i/>
          <w:iCs/>
          <w:sz w:val="24"/>
          <w:szCs w:val="24"/>
          <w:lang w:val="en-US"/>
        </w:rPr>
        <w:t xml:space="preserve"> al-</w:t>
      </w:r>
      <w:proofErr w:type="spellStart"/>
      <w:r w:rsidRPr="00C613CC">
        <w:rPr>
          <w:rFonts w:ascii="Minion Pro" w:hAnsi="Minion Pro" w:cs="Times New Roman"/>
          <w:bCs/>
          <w:i/>
          <w:iCs/>
          <w:sz w:val="24"/>
          <w:szCs w:val="24"/>
          <w:lang w:val="en-US"/>
        </w:rPr>
        <w:t>manhaj</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sebagai</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bentuk</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pengembangan</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konseptual</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dari</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bermazhab</w:t>
      </w:r>
      <w:proofErr w:type="spellEnd"/>
      <w:r w:rsidRPr="00C613CC">
        <w:rPr>
          <w:rFonts w:ascii="Minion Pro" w:hAnsi="Minion Pro" w:cs="Times New Roman"/>
          <w:bCs/>
          <w:sz w:val="24"/>
          <w:szCs w:val="24"/>
          <w:lang w:val="en-US"/>
        </w:rPr>
        <w:t xml:space="preserve"> </w:t>
      </w:r>
      <w:r w:rsidRPr="00C613CC">
        <w:rPr>
          <w:rFonts w:ascii="Minion Pro" w:hAnsi="Minion Pro" w:cs="Times New Roman"/>
          <w:bCs/>
          <w:i/>
          <w:iCs/>
          <w:sz w:val="24"/>
          <w:szCs w:val="24"/>
          <w:lang w:val="en-US"/>
        </w:rPr>
        <w:t>fi al-</w:t>
      </w:r>
      <w:proofErr w:type="spellStart"/>
      <w:r w:rsidRPr="00C613CC">
        <w:rPr>
          <w:rFonts w:ascii="Minion Pro" w:hAnsi="Minion Pro" w:cs="Times New Roman"/>
          <w:bCs/>
          <w:i/>
          <w:iCs/>
          <w:sz w:val="24"/>
          <w:szCs w:val="24"/>
          <w:lang w:val="en-US"/>
        </w:rPr>
        <w:t>aqwāl</w:t>
      </w:r>
      <w:proofErr w:type="spellEnd"/>
      <w:r w:rsidRPr="00C613CC">
        <w:rPr>
          <w:rFonts w:ascii="Minion Pro" w:hAnsi="Minion Pro" w:cs="Times New Roman"/>
          <w:bCs/>
          <w:sz w:val="24"/>
          <w:szCs w:val="24"/>
          <w:lang w:val="en-US"/>
        </w:rPr>
        <w:t xml:space="preserve">” yang </w:t>
      </w:r>
      <w:proofErr w:type="spellStart"/>
      <w:r w:rsidRPr="00C613CC">
        <w:rPr>
          <w:rFonts w:ascii="Minion Pro" w:hAnsi="Minion Pro" w:cs="Times New Roman"/>
          <w:bCs/>
          <w:sz w:val="24"/>
          <w:szCs w:val="24"/>
          <w:lang w:val="en-US"/>
        </w:rPr>
        <w:t>dominan</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selama</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ini</w:t>
      </w:r>
      <w:proofErr w:type="spellEnd"/>
      <w:r w:rsidRPr="00C613CC">
        <w:rPr>
          <w:rFonts w:ascii="Minion Pro" w:hAnsi="Minion Pro" w:cs="Times New Roman"/>
          <w:bCs/>
          <w:sz w:val="24"/>
          <w:szCs w:val="24"/>
          <w:lang w:val="en-US"/>
        </w:rPr>
        <w:t>.</w:t>
      </w:r>
      <w:r w:rsidRPr="00C613CC">
        <w:rPr>
          <w:rFonts w:ascii="Minion Pro" w:hAnsi="Minion Pro" w:cs="Times New Roman"/>
          <w:bCs/>
          <w:sz w:val="24"/>
          <w:szCs w:val="24"/>
          <w:vertAlign w:val="superscript"/>
          <w:lang w:val="en-US"/>
        </w:rPr>
        <w:footnoteReference w:id="24"/>
      </w:r>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Selain</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menjadi</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isu</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nasional</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serta</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diliput</w:t>
      </w:r>
      <w:proofErr w:type="spellEnd"/>
      <w:r w:rsidRPr="00C613CC">
        <w:rPr>
          <w:rFonts w:ascii="Minion Pro" w:hAnsi="Minion Pro" w:cs="Times New Roman"/>
          <w:bCs/>
          <w:sz w:val="24"/>
          <w:szCs w:val="24"/>
          <w:lang w:val="en-US"/>
        </w:rPr>
        <w:t xml:space="preserve"> oleh </w:t>
      </w:r>
      <w:proofErr w:type="spellStart"/>
      <w:r w:rsidRPr="00C613CC">
        <w:rPr>
          <w:rFonts w:ascii="Minion Pro" w:hAnsi="Minion Pro" w:cs="Times New Roman"/>
          <w:bCs/>
          <w:sz w:val="24"/>
          <w:szCs w:val="24"/>
          <w:lang w:val="en-US"/>
        </w:rPr>
        <w:t>sejumlah</w:t>
      </w:r>
      <w:proofErr w:type="spellEnd"/>
      <w:r w:rsidRPr="00C613CC">
        <w:rPr>
          <w:rFonts w:ascii="Minion Pro" w:hAnsi="Minion Pro" w:cs="Times New Roman"/>
          <w:bCs/>
          <w:sz w:val="24"/>
          <w:szCs w:val="24"/>
          <w:lang w:val="en-US"/>
        </w:rPr>
        <w:t xml:space="preserve"> media </w:t>
      </w:r>
      <w:proofErr w:type="spellStart"/>
      <w:r w:rsidRPr="00C613CC">
        <w:rPr>
          <w:rFonts w:ascii="Minion Pro" w:hAnsi="Minion Pro" w:cs="Times New Roman"/>
          <w:bCs/>
          <w:sz w:val="24"/>
          <w:szCs w:val="24"/>
          <w:lang w:val="en-US"/>
        </w:rPr>
        <w:t>massa</w:t>
      </w:r>
      <w:proofErr w:type="spellEnd"/>
      <w:r w:rsidRPr="00C613CC">
        <w:rPr>
          <w:rFonts w:ascii="Minion Pro" w:hAnsi="Minion Pro" w:cs="Times New Roman"/>
          <w:bCs/>
          <w:sz w:val="24"/>
          <w:szCs w:val="24"/>
          <w:lang w:val="en-US"/>
        </w:rPr>
        <w:t>,</w:t>
      </w:r>
      <w:r w:rsidRPr="00C613CC">
        <w:rPr>
          <w:rFonts w:ascii="Minion Pro" w:hAnsi="Minion Pro" w:cs="Times New Roman"/>
          <w:bCs/>
          <w:sz w:val="24"/>
          <w:szCs w:val="24"/>
          <w:vertAlign w:val="superscript"/>
          <w:lang w:val="en-US"/>
        </w:rPr>
        <w:footnoteReference w:id="25"/>
      </w:r>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gagasan</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ini</w:t>
      </w:r>
      <w:proofErr w:type="spellEnd"/>
      <w:r w:rsidRPr="00C613CC">
        <w:rPr>
          <w:rFonts w:ascii="Minion Pro" w:hAnsi="Minion Pro" w:cs="Times New Roman"/>
          <w:bCs/>
          <w:sz w:val="24"/>
          <w:szCs w:val="24"/>
          <w:lang w:val="en-US"/>
        </w:rPr>
        <w:t xml:space="preserve"> juga </w:t>
      </w:r>
      <w:proofErr w:type="spellStart"/>
      <w:r w:rsidRPr="00C613CC">
        <w:rPr>
          <w:rFonts w:ascii="Minion Pro" w:hAnsi="Minion Pro" w:cs="Times New Roman"/>
          <w:bCs/>
          <w:sz w:val="24"/>
          <w:szCs w:val="24"/>
          <w:lang w:val="en-US"/>
        </w:rPr>
        <w:t>dipertegas</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kembali</w:t>
      </w:r>
      <w:proofErr w:type="spellEnd"/>
      <w:r w:rsidRPr="00C613CC">
        <w:rPr>
          <w:rFonts w:ascii="Minion Pro" w:hAnsi="Minion Pro" w:cs="Times New Roman"/>
          <w:bCs/>
          <w:sz w:val="24"/>
          <w:szCs w:val="24"/>
          <w:lang w:val="en-US"/>
        </w:rPr>
        <w:t xml:space="preserve"> pada forum </w:t>
      </w:r>
      <w:proofErr w:type="spellStart"/>
      <w:r w:rsidRPr="00C613CC">
        <w:rPr>
          <w:rFonts w:ascii="Minion Pro" w:hAnsi="Minion Pro" w:cs="Times New Roman"/>
          <w:bCs/>
          <w:i/>
          <w:iCs/>
          <w:sz w:val="24"/>
          <w:szCs w:val="24"/>
          <w:lang w:val="en-US"/>
        </w:rPr>
        <w:t>halaqah</w:t>
      </w:r>
      <w:proofErr w:type="spellEnd"/>
      <w:r w:rsidRPr="00C613CC">
        <w:rPr>
          <w:rFonts w:ascii="Minion Pro" w:hAnsi="Minion Pro" w:cs="Times New Roman"/>
          <w:bCs/>
          <w:sz w:val="24"/>
          <w:szCs w:val="24"/>
          <w:lang w:val="en-US"/>
        </w:rPr>
        <w:t xml:space="preserve"> yang </w:t>
      </w:r>
      <w:proofErr w:type="spellStart"/>
      <w:r w:rsidRPr="00C613CC">
        <w:rPr>
          <w:rFonts w:ascii="Minion Pro" w:hAnsi="Minion Pro" w:cs="Times New Roman"/>
          <w:bCs/>
          <w:sz w:val="24"/>
          <w:szCs w:val="24"/>
          <w:lang w:val="en-US"/>
        </w:rPr>
        <w:t>diselenggarakan</w:t>
      </w:r>
      <w:proofErr w:type="spellEnd"/>
      <w:r w:rsidRPr="00C613CC">
        <w:rPr>
          <w:rFonts w:ascii="Minion Pro" w:hAnsi="Minion Pro" w:cs="Times New Roman"/>
          <w:bCs/>
          <w:sz w:val="24"/>
          <w:szCs w:val="24"/>
          <w:lang w:val="en-US"/>
        </w:rPr>
        <w:t xml:space="preserve"> pada </w:t>
      </w:r>
      <w:proofErr w:type="spellStart"/>
      <w:r w:rsidRPr="00C613CC">
        <w:rPr>
          <w:rFonts w:ascii="Minion Pro" w:hAnsi="Minion Pro" w:cs="Times New Roman"/>
          <w:bCs/>
          <w:sz w:val="24"/>
          <w:szCs w:val="24"/>
          <w:lang w:val="en-US"/>
        </w:rPr>
        <w:t>tahun</w:t>
      </w:r>
      <w:proofErr w:type="spellEnd"/>
      <w:r w:rsidRPr="00C613CC">
        <w:rPr>
          <w:rFonts w:ascii="Minion Pro" w:hAnsi="Minion Pro" w:cs="Times New Roman"/>
          <w:bCs/>
          <w:sz w:val="24"/>
          <w:szCs w:val="24"/>
          <w:lang w:val="en-US"/>
        </w:rPr>
        <w:t xml:space="preserve"> 1990 di </w:t>
      </w:r>
      <w:proofErr w:type="spellStart"/>
      <w:r w:rsidRPr="00C613CC">
        <w:rPr>
          <w:rFonts w:ascii="Minion Pro" w:hAnsi="Minion Pro" w:cs="Times New Roman"/>
          <w:bCs/>
          <w:sz w:val="24"/>
          <w:szCs w:val="24"/>
          <w:lang w:val="en-US"/>
        </w:rPr>
        <w:t>Denanyar</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Jombang</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Rekomendasi</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dari</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dari</w:t>
      </w:r>
      <w:proofErr w:type="spellEnd"/>
      <w:r w:rsidRPr="00C613CC">
        <w:rPr>
          <w:rFonts w:ascii="Minion Pro" w:hAnsi="Minion Pro" w:cs="Times New Roman"/>
          <w:bCs/>
          <w:sz w:val="24"/>
          <w:szCs w:val="24"/>
          <w:lang w:val="en-US"/>
        </w:rPr>
        <w:t xml:space="preserve"> forum </w:t>
      </w:r>
      <w:proofErr w:type="spellStart"/>
      <w:r w:rsidRPr="00C613CC">
        <w:rPr>
          <w:rFonts w:ascii="Minion Pro" w:hAnsi="Minion Pro" w:cs="Times New Roman"/>
          <w:bCs/>
          <w:i/>
          <w:iCs/>
          <w:sz w:val="24"/>
          <w:szCs w:val="24"/>
          <w:lang w:val="en-US"/>
        </w:rPr>
        <w:t>halaqah</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ini</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adalah</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bahwa</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bermazhab</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sebagai</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cara</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terbaik</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dalam</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memahami</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Alqur’an</w:t>
      </w:r>
      <w:proofErr w:type="spellEnd"/>
      <w:r w:rsidRPr="00C613CC">
        <w:rPr>
          <w:rFonts w:ascii="Minion Pro" w:hAnsi="Minion Pro" w:cs="Times New Roman"/>
          <w:bCs/>
          <w:sz w:val="24"/>
          <w:szCs w:val="24"/>
          <w:lang w:val="en-US"/>
        </w:rPr>
        <w:t xml:space="preserve"> dan </w:t>
      </w:r>
      <w:proofErr w:type="spellStart"/>
      <w:r w:rsidRPr="00C613CC">
        <w:rPr>
          <w:rFonts w:ascii="Minion Pro" w:hAnsi="Minion Pro" w:cs="Times New Roman"/>
          <w:bCs/>
          <w:sz w:val="24"/>
          <w:szCs w:val="24"/>
          <w:lang w:val="en-US"/>
        </w:rPr>
        <w:t>hadis</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terbagi</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menjadi</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dua</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bentuk</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yakni</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bermazhab</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secara</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i/>
          <w:iCs/>
          <w:sz w:val="24"/>
          <w:szCs w:val="24"/>
          <w:lang w:val="en-US"/>
        </w:rPr>
        <w:t>qaulī</w:t>
      </w:r>
      <w:proofErr w:type="spellEnd"/>
      <w:r w:rsidRPr="00C613CC">
        <w:rPr>
          <w:rFonts w:ascii="Minion Pro" w:hAnsi="Minion Pro" w:cs="Times New Roman"/>
          <w:bCs/>
          <w:sz w:val="24"/>
          <w:szCs w:val="24"/>
          <w:lang w:val="en-US"/>
        </w:rPr>
        <w:t xml:space="preserve"> dan </w:t>
      </w:r>
      <w:proofErr w:type="spellStart"/>
      <w:r w:rsidRPr="00C613CC">
        <w:rPr>
          <w:rFonts w:ascii="Minion Pro" w:hAnsi="Minion Pro" w:cs="Times New Roman"/>
          <w:bCs/>
          <w:sz w:val="24"/>
          <w:szCs w:val="24"/>
          <w:lang w:val="en-US"/>
        </w:rPr>
        <w:t>bermazhab</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secara</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i/>
          <w:iCs/>
          <w:sz w:val="24"/>
          <w:szCs w:val="24"/>
          <w:lang w:val="en-US"/>
        </w:rPr>
        <w:t>manhajī</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Bentuk</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pertama</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diperuntukkan</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bagi</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kalangan</w:t>
      </w:r>
      <w:proofErr w:type="spellEnd"/>
      <w:r w:rsidRPr="00C613CC">
        <w:rPr>
          <w:rFonts w:ascii="Minion Pro" w:hAnsi="Minion Pro" w:cs="Times New Roman"/>
          <w:bCs/>
          <w:sz w:val="24"/>
          <w:szCs w:val="24"/>
          <w:lang w:val="en-US"/>
        </w:rPr>
        <w:t xml:space="preserve"> orang </w:t>
      </w:r>
      <w:proofErr w:type="spellStart"/>
      <w:r w:rsidRPr="00C613CC">
        <w:rPr>
          <w:rFonts w:ascii="Minion Pro" w:hAnsi="Minion Pro" w:cs="Times New Roman"/>
          <w:bCs/>
          <w:sz w:val="24"/>
          <w:szCs w:val="24"/>
          <w:lang w:val="en-US"/>
        </w:rPr>
        <w:t>awam</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sementara</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bentuk</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kedua</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dianjurkan</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bagi</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kalangan</w:t>
      </w:r>
      <w:proofErr w:type="spellEnd"/>
      <w:r w:rsidRPr="00C613CC">
        <w:rPr>
          <w:rFonts w:ascii="Minion Pro" w:hAnsi="Minion Pro" w:cs="Times New Roman"/>
          <w:bCs/>
          <w:sz w:val="24"/>
          <w:szCs w:val="24"/>
          <w:lang w:val="en-US"/>
        </w:rPr>
        <w:t xml:space="preserve"> ulama; </w:t>
      </w:r>
      <w:proofErr w:type="spellStart"/>
      <w:r w:rsidRPr="00C613CC">
        <w:rPr>
          <w:rFonts w:ascii="Minion Pro" w:hAnsi="Minion Pro" w:cs="Times New Roman"/>
          <w:bCs/>
          <w:sz w:val="24"/>
          <w:szCs w:val="24"/>
          <w:lang w:val="en-US"/>
        </w:rPr>
        <w:t>itu</w:t>
      </w:r>
      <w:proofErr w:type="spellEnd"/>
      <w:r w:rsidRPr="00C613CC">
        <w:rPr>
          <w:rFonts w:ascii="Minion Pro" w:hAnsi="Minion Pro" w:cs="Times New Roman"/>
          <w:bCs/>
          <w:sz w:val="24"/>
          <w:szCs w:val="24"/>
          <w:lang w:val="en-US"/>
        </w:rPr>
        <w:t xml:space="preserve"> pun </w:t>
      </w:r>
      <w:proofErr w:type="spellStart"/>
      <w:r w:rsidRPr="00C613CC">
        <w:rPr>
          <w:rFonts w:ascii="Minion Pro" w:hAnsi="Minion Pro" w:cs="Times New Roman"/>
          <w:bCs/>
          <w:sz w:val="24"/>
          <w:szCs w:val="24"/>
          <w:lang w:val="en-US"/>
        </w:rPr>
        <w:t>harus</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tetap</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secara</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kolektif</w:t>
      </w:r>
      <w:proofErr w:type="spellEnd"/>
      <w:r w:rsidRPr="00C613CC">
        <w:rPr>
          <w:rFonts w:ascii="Minion Pro" w:hAnsi="Minion Pro" w:cs="Times New Roman"/>
          <w:bCs/>
          <w:sz w:val="24"/>
          <w:szCs w:val="24"/>
          <w:lang w:val="en-US"/>
        </w:rPr>
        <w:t xml:space="preserve"> (</w:t>
      </w:r>
      <w:proofErr w:type="spellStart"/>
      <w:proofErr w:type="gramStart"/>
      <w:r w:rsidRPr="00C613CC">
        <w:rPr>
          <w:rFonts w:ascii="Minion Pro" w:hAnsi="Minion Pro" w:cs="Times New Roman"/>
          <w:bCs/>
          <w:i/>
          <w:iCs/>
          <w:sz w:val="24"/>
          <w:szCs w:val="24"/>
          <w:lang w:val="en-US"/>
        </w:rPr>
        <w:t>jamā‘</w:t>
      </w:r>
      <w:proofErr w:type="gramEnd"/>
      <w:r w:rsidRPr="00C613CC">
        <w:rPr>
          <w:rFonts w:ascii="Minion Pro" w:hAnsi="Minion Pro" w:cs="Times New Roman"/>
          <w:bCs/>
          <w:i/>
          <w:iCs/>
          <w:sz w:val="24"/>
          <w:szCs w:val="24"/>
          <w:lang w:val="en-US"/>
        </w:rPr>
        <w:t>ī</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Rekomendasi</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ini</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menjadi</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bahan</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acuan</w:t>
      </w:r>
      <w:proofErr w:type="spellEnd"/>
      <w:r w:rsidRPr="00C613CC">
        <w:rPr>
          <w:rFonts w:ascii="Minion Pro" w:hAnsi="Minion Pro" w:cs="Times New Roman"/>
          <w:bCs/>
          <w:sz w:val="24"/>
          <w:szCs w:val="24"/>
          <w:lang w:val="en-US"/>
        </w:rPr>
        <w:t xml:space="preserve"> yang paling </w:t>
      </w:r>
      <w:proofErr w:type="spellStart"/>
      <w:r w:rsidRPr="00C613CC">
        <w:rPr>
          <w:rFonts w:ascii="Minion Pro" w:hAnsi="Minion Pro" w:cs="Times New Roman"/>
          <w:bCs/>
          <w:sz w:val="24"/>
          <w:szCs w:val="24"/>
          <w:lang w:val="en-US"/>
        </w:rPr>
        <w:t>penting</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bagi</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perumusan</w:t>
      </w:r>
      <w:proofErr w:type="spellEnd"/>
      <w:r w:rsidRPr="00C613CC">
        <w:rPr>
          <w:rFonts w:ascii="Minion Pro" w:hAnsi="Minion Pro" w:cs="Times New Roman"/>
          <w:bCs/>
          <w:sz w:val="24"/>
          <w:szCs w:val="24"/>
          <w:lang w:val="en-US"/>
        </w:rPr>
        <w:t xml:space="preserve"> dan </w:t>
      </w:r>
      <w:proofErr w:type="spellStart"/>
      <w:r w:rsidRPr="00C613CC">
        <w:rPr>
          <w:rFonts w:ascii="Minion Pro" w:hAnsi="Minion Pro" w:cs="Times New Roman"/>
          <w:bCs/>
          <w:sz w:val="24"/>
          <w:szCs w:val="24"/>
          <w:lang w:val="en-US"/>
        </w:rPr>
        <w:t>pembakuan</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kerangka</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metodologis</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i/>
          <w:iCs/>
          <w:sz w:val="24"/>
          <w:szCs w:val="24"/>
          <w:lang w:val="en-US"/>
        </w:rPr>
        <w:t>istinbāth</w:t>
      </w:r>
      <w:proofErr w:type="spellEnd"/>
      <w:r w:rsidRPr="00C613CC">
        <w:rPr>
          <w:rFonts w:ascii="Minion Pro" w:hAnsi="Minion Pro" w:cs="Times New Roman"/>
          <w:bCs/>
          <w:sz w:val="24"/>
          <w:szCs w:val="24"/>
          <w:lang w:val="en-US"/>
        </w:rPr>
        <w:t xml:space="preserve"> NU yang </w:t>
      </w:r>
      <w:proofErr w:type="spellStart"/>
      <w:r w:rsidRPr="00C613CC">
        <w:rPr>
          <w:rFonts w:ascii="Minion Pro" w:hAnsi="Minion Pro" w:cs="Times New Roman"/>
          <w:bCs/>
          <w:sz w:val="24"/>
          <w:szCs w:val="24"/>
          <w:lang w:val="en-US"/>
        </w:rPr>
        <w:t>dihasilkan</w:t>
      </w:r>
      <w:proofErr w:type="spellEnd"/>
      <w:r w:rsidRPr="00C613CC">
        <w:rPr>
          <w:rFonts w:ascii="Minion Pro" w:hAnsi="Minion Pro" w:cs="Times New Roman"/>
          <w:bCs/>
          <w:sz w:val="24"/>
          <w:szCs w:val="24"/>
          <w:lang w:val="en-US"/>
        </w:rPr>
        <w:t xml:space="preserve"> pada </w:t>
      </w:r>
      <w:proofErr w:type="spellStart"/>
      <w:r w:rsidRPr="00C613CC">
        <w:rPr>
          <w:rFonts w:ascii="Minion Pro" w:hAnsi="Minion Pro" w:cs="Times New Roman"/>
          <w:bCs/>
          <w:sz w:val="24"/>
          <w:szCs w:val="24"/>
          <w:lang w:val="en-US"/>
        </w:rPr>
        <w:t>Bahtsul</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Masail</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edisi</w:t>
      </w:r>
      <w:proofErr w:type="spellEnd"/>
      <w:r w:rsidRPr="00C613CC">
        <w:rPr>
          <w:rFonts w:ascii="Minion Pro" w:hAnsi="Minion Pro" w:cs="Times New Roman"/>
          <w:bCs/>
          <w:sz w:val="24"/>
          <w:szCs w:val="24"/>
          <w:lang w:val="en-US"/>
        </w:rPr>
        <w:t xml:space="preserve"> </w:t>
      </w:r>
      <w:proofErr w:type="spellStart"/>
      <w:r w:rsidRPr="00C613CC">
        <w:rPr>
          <w:rFonts w:ascii="Minion Pro" w:hAnsi="Minion Pro" w:cs="Times New Roman"/>
          <w:bCs/>
          <w:sz w:val="24"/>
          <w:szCs w:val="24"/>
          <w:lang w:val="en-US"/>
        </w:rPr>
        <w:t>tahun</w:t>
      </w:r>
      <w:proofErr w:type="spellEnd"/>
      <w:r w:rsidRPr="00C613CC">
        <w:rPr>
          <w:rFonts w:ascii="Minion Pro" w:hAnsi="Minion Pro" w:cs="Times New Roman"/>
          <w:bCs/>
          <w:sz w:val="24"/>
          <w:szCs w:val="24"/>
          <w:lang w:val="en-US"/>
        </w:rPr>
        <w:t xml:space="preserve"> 1992.</w:t>
      </w:r>
      <w:r w:rsidRPr="00C613CC">
        <w:rPr>
          <w:rFonts w:ascii="Minion Pro" w:hAnsi="Minion Pro" w:cs="Times New Roman"/>
          <w:bCs/>
          <w:sz w:val="24"/>
          <w:szCs w:val="24"/>
          <w:vertAlign w:val="superscript"/>
          <w:lang w:val="en-US"/>
        </w:rPr>
        <w:footnoteReference w:id="26"/>
      </w:r>
    </w:p>
    <w:p w14:paraId="19FC8A6F" w14:textId="1671BA3D" w:rsidR="00181326" w:rsidRPr="002D1709" w:rsidRDefault="00CE6AA9" w:rsidP="00CE6AA9">
      <w:pPr>
        <w:pStyle w:val="ListParagraph"/>
        <w:numPr>
          <w:ilvl w:val="1"/>
          <w:numId w:val="1"/>
        </w:numPr>
        <w:spacing w:line="240" w:lineRule="auto"/>
        <w:ind w:left="567" w:hanging="567"/>
        <w:jc w:val="both"/>
        <w:rPr>
          <w:rFonts w:ascii="Minion Pro" w:hAnsi="Minion Pro" w:cs="Times New Roman"/>
          <w:b/>
          <w:sz w:val="24"/>
          <w:szCs w:val="24"/>
        </w:rPr>
      </w:pPr>
      <w:proofErr w:type="spellStart"/>
      <w:r w:rsidRPr="00CE6AA9">
        <w:rPr>
          <w:rFonts w:ascii="Minion Pro" w:hAnsi="Minion Pro" w:cs="Times New Roman"/>
          <w:b/>
          <w:bCs/>
          <w:sz w:val="24"/>
          <w:szCs w:val="24"/>
          <w:lang w:val="en-US"/>
        </w:rPr>
        <w:t>Trilogi</w:t>
      </w:r>
      <w:proofErr w:type="spellEnd"/>
      <w:r w:rsidRPr="00CE6AA9">
        <w:rPr>
          <w:rFonts w:ascii="Minion Pro" w:hAnsi="Minion Pro" w:cs="Times New Roman"/>
          <w:b/>
          <w:bCs/>
          <w:sz w:val="24"/>
          <w:szCs w:val="24"/>
          <w:lang w:val="en-US"/>
        </w:rPr>
        <w:t xml:space="preserve"> </w:t>
      </w:r>
      <w:proofErr w:type="spellStart"/>
      <w:r w:rsidRPr="00CE6AA9">
        <w:rPr>
          <w:rFonts w:ascii="Minion Pro" w:hAnsi="Minion Pro" w:cs="Times New Roman"/>
          <w:b/>
          <w:bCs/>
          <w:sz w:val="24"/>
          <w:szCs w:val="24"/>
          <w:lang w:val="en-US"/>
        </w:rPr>
        <w:t>Metode</w:t>
      </w:r>
      <w:proofErr w:type="spellEnd"/>
      <w:r w:rsidRPr="00CE6AA9">
        <w:rPr>
          <w:rFonts w:ascii="Minion Pro" w:hAnsi="Minion Pro" w:cs="Times New Roman"/>
          <w:b/>
          <w:bCs/>
          <w:sz w:val="24"/>
          <w:szCs w:val="24"/>
          <w:lang w:val="en-US"/>
        </w:rPr>
        <w:t xml:space="preserve"> </w:t>
      </w:r>
      <w:proofErr w:type="spellStart"/>
      <w:r w:rsidRPr="00CE6AA9">
        <w:rPr>
          <w:rFonts w:ascii="Minion Pro" w:hAnsi="Minion Pro" w:cs="Times New Roman"/>
          <w:b/>
          <w:bCs/>
          <w:i/>
          <w:iCs/>
          <w:sz w:val="24"/>
          <w:szCs w:val="24"/>
          <w:lang w:val="en-US"/>
        </w:rPr>
        <w:t>Istinbāth</w:t>
      </w:r>
      <w:proofErr w:type="spellEnd"/>
      <w:r w:rsidRPr="00CE6AA9">
        <w:rPr>
          <w:rFonts w:ascii="Minion Pro" w:hAnsi="Minion Pro" w:cs="Times New Roman"/>
          <w:b/>
          <w:sz w:val="24"/>
          <w:szCs w:val="24"/>
          <w:lang w:val="en-US"/>
        </w:rPr>
        <w:t xml:space="preserve"> </w:t>
      </w:r>
    </w:p>
    <w:p w14:paraId="7EAC53DD" w14:textId="77777777" w:rsidR="000D189B" w:rsidRDefault="000D189B" w:rsidP="000D189B">
      <w:pPr>
        <w:tabs>
          <w:tab w:val="left" w:pos="540"/>
        </w:tabs>
        <w:spacing w:line="240" w:lineRule="auto"/>
        <w:jc w:val="both"/>
        <w:rPr>
          <w:rFonts w:ascii="Minion Pro" w:hAnsi="Minion Pro" w:cs="Times New Roman"/>
          <w:bCs/>
          <w:sz w:val="24"/>
          <w:szCs w:val="24"/>
          <w:lang w:val="en-US"/>
        </w:rPr>
      </w:pPr>
      <w:r w:rsidRPr="000D189B">
        <w:rPr>
          <w:rFonts w:ascii="Minion Pro" w:hAnsi="Minion Pro" w:cs="Times New Roman"/>
          <w:bCs/>
          <w:sz w:val="24"/>
          <w:szCs w:val="24"/>
        </w:rPr>
        <w:t xml:space="preserve">Seperti telah disinggung di atas, elemen pertama dari kerangka metodologis </w:t>
      </w:r>
      <w:r w:rsidRPr="000D189B">
        <w:rPr>
          <w:rFonts w:ascii="Minion Pro" w:hAnsi="Minion Pro" w:cs="Times New Roman"/>
          <w:bCs/>
          <w:i/>
          <w:iCs/>
          <w:sz w:val="24"/>
          <w:szCs w:val="24"/>
        </w:rPr>
        <w:t>istinbāth</w:t>
      </w:r>
      <w:r w:rsidRPr="000D189B">
        <w:rPr>
          <w:rFonts w:ascii="Minion Pro" w:hAnsi="Minion Pro" w:cs="Times New Roman"/>
          <w:bCs/>
          <w:sz w:val="24"/>
          <w:szCs w:val="24"/>
        </w:rPr>
        <w:t xml:space="preserve"> NU dalam Bahtsul Masail adalah trilogi metode </w:t>
      </w:r>
      <w:r w:rsidRPr="000D189B">
        <w:rPr>
          <w:rFonts w:ascii="Minion Pro" w:hAnsi="Minion Pro" w:cs="Times New Roman"/>
          <w:bCs/>
          <w:i/>
          <w:iCs/>
          <w:sz w:val="24"/>
          <w:szCs w:val="24"/>
        </w:rPr>
        <w:t>istinbāth</w:t>
      </w:r>
      <w:r w:rsidRPr="000D189B">
        <w:rPr>
          <w:rFonts w:ascii="Minion Pro" w:hAnsi="Minion Pro" w:cs="Times New Roman"/>
          <w:bCs/>
          <w:sz w:val="24"/>
          <w:szCs w:val="24"/>
        </w:rPr>
        <w:t xml:space="preserve">, yakni metode </w:t>
      </w:r>
      <w:r w:rsidRPr="000D189B">
        <w:rPr>
          <w:rFonts w:ascii="Minion Pro" w:hAnsi="Minion Pro" w:cs="Times New Roman"/>
          <w:bCs/>
          <w:i/>
          <w:iCs/>
          <w:sz w:val="24"/>
          <w:szCs w:val="24"/>
        </w:rPr>
        <w:t>qaulī</w:t>
      </w:r>
      <w:r w:rsidRPr="000D189B">
        <w:rPr>
          <w:rFonts w:ascii="Minion Pro" w:hAnsi="Minion Pro" w:cs="Times New Roman"/>
          <w:bCs/>
          <w:sz w:val="24"/>
          <w:szCs w:val="24"/>
        </w:rPr>
        <w:t xml:space="preserve">, metode </w:t>
      </w:r>
      <w:r w:rsidRPr="000D189B">
        <w:rPr>
          <w:rFonts w:ascii="Minion Pro" w:hAnsi="Minion Pro" w:cs="Times New Roman"/>
          <w:bCs/>
          <w:i/>
          <w:iCs/>
          <w:sz w:val="24"/>
          <w:szCs w:val="24"/>
        </w:rPr>
        <w:t>ilhāqī</w:t>
      </w:r>
      <w:r w:rsidRPr="000D189B">
        <w:rPr>
          <w:rFonts w:ascii="Minion Pro" w:hAnsi="Minion Pro" w:cs="Times New Roman"/>
          <w:bCs/>
          <w:sz w:val="24"/>
          <w:szCs w:val="24"/>
        </w:rPr>
        <w:t xml:space="preserve">, dan metode </w:t>
      </w:r>
      <w:r w:rsidRPr="000D189B">
        <w:rPr>
          <w:rFonts w:ascii="Minion Pro" w:hAnsi="Minion Pro" w:cs="Times New Roman"/>
          <w:bCs/>
          <w:i/>
          <w:iCs/>
          <w:sz w:val="24"/>
          <w:szCs w:val="24"/>
        </w:rPr>
        <w:t>manhajī</w:t>
      </w:r>
      <w:r w:rsidRPr="000D189B">
        <w:rPr>
          <w:rFonts w:ascii="Minion Pro" w:hAnsi="Minion Pro" w:cs="Times New Roman"/>
          <w:bCs/>
          <w:sz w:val="24"/>
          <w:szCs w:val="24"/>
        </w:rPr>
        <w:t xml:space="preserve">. </w:t>
      </w:r>
      <w:proofErr w:type="spellStart"/>
      <w:r w:rsidRPr="000D189B">
        <w:rPr>
          <w:rFonts w:ascii="Minion Pro" w:hAnsi="Minion Pro" w:cs="Times New Roman"/>
          <w:bCs/>
          <w:sz w:val="24"/>
          <w:szCs w:val="24"/>
          <w:lang w:val="en-US"/>
        </w:rPr>
        <w:t>Metode</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i/>
          <w:iCs/>
          <w:sz w:val="24"/>
          <w:szCs w:val="24"/>
          <w:lang w:val="en-US"/>
        </w:rPr>
        <w:t>qaulī</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adalah</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mengikuti</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pen</w:t>
      </w:r>
      <w:r w:rsidRPr="000D189B">
        <w:rPr>
          <w:rFonts w:ascii="Minion Pro" w:hAnsi="Minion Pro" w:cs="Times New Roman"/>
          <w:bCs/>
          <w:sz w:val="24"/>
          <w:szCs w:val="24"/>
          <w:lang w:val="en-US"/>
        </w:rPr>
        <w:lastRenderedPageBreak/>
        <w:t>dapat</w:t>
      </w:r>
      <w:proofErr w:type="spellEnd"/>
      <w:r w:rsidRPr="000D189B">
        <w:rPr>
          <w:rFonts w:ascii="Minion Pro" w:hAnsi="Minion Pro" w:cs="Times New Roman"/>
          <w:bCs/>
          <w:sz w:val="24"/>
          <w:szCs w:val="24"/>
          <w:lang w:val="en-US"/>
        </w:rPr>
        <w:t xml:space="preserve"> yang </w:t>
      </w:r>
      <w:proofErr w:type="spellStart"/>
      <w:r w:rsidRPr="000D189B">
        <w:rPr>
          <w:rFonts w:ascii="Minion Pro" w:hAnsi="Minion Pro" w:cs="Times New Roman"/>
          <w:bCs/>
          <w:sz w:val="24"/>
          <w:szCs w:val="24"/>
          <w:lang w:val="en-US"/>
        </w:rPr>
        <w:t>sudah</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jadi</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dalam</w:t>
      </w:r>
      <w:proofErr w:type="spellEnd"/>
      <w:r w:rsidRPr="000D189B">
        <w:rPr>
          <w:rFonts w:ascii="Minion Pro" w:hAnsi="Minion Pro" w:cs="Times New Roman"/>
          <w:bCs/>
          <w:sz w:val="24"/>
          <w:szCs w:val="24"/>
          <w:lang w:val="en-US"/>
        </w:rPr>
        <w:t xml:space="preserve"> kitab </w:t>
      </w:r>
      <w:proofErr w:type="spellStart"/>
      <w:r w:rsidRPr="000D189B">
        <w:rPr>
          <w:rFonts w:ascii="Minion Pro" w:hAnsi="Minion Pro" w:cs="Times New Roman"/>
          <w:bCs/>
          <w:sz w:val="24"/>
          <w:szCs w:val="24"/>
          <w:lang w:val="en-US"/>
        </w:rPr>
        <w:t>fikih</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mazhab</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tertentu</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Metode</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i/>
          <w:iCs/>
          <w:sz w:val="24"/>
          <w:szCs w:val="24"/>
          <w:lang w:val="en-US"/>
        </w:rPr>
        <w:t>ilhāqī</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adalah</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menganalogikan</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kasus</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baru</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dengan</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kasus</w:t>
      </w:r>
      <w:proofErr w:type="spellEnd"/>
      <w:r w:rsidRPr="000D189B">
        <w:rPr>
          <w:rFonts w:ascii="Minion Pro" w:hAnsi="Minion Pro" w:cs="Times New Roman"/>
          <w:bCs/>
          <w:sz w:val="24"/>
          <w:szCs w:val="24"/>
          <w:lang w:val="en-US"/>
        </w:rPr>
        <w:t xml:space="preserve"> lain yang </w:t>
      </w:r>
      <w:proofErr w:type="spellStart"/>
      <w:r w:rsidRPr="000D189B">
        <w:rPr>
          <w:rFonts w:ascii="Minion Pro" w:hAnsi="Minion Pro" w:cs="Times New Roman"/>
          <w:bCs/>
          <w:sz w:val="24"/>
          <w:szCs w:val="24"/>
          <w:lang w:val="en-US"/>
        </w:rPr>
        <w:t>sudah</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ada</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ketentuan</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hukumnya</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melalui</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pendapat</w:t>
      </w:r>
      <w:proofErr w:type="spellEnd"/>
      <w:r w:rsidRPr="000D189B">
        <w:rPr>
          <w:rFonts w:ascii="Minion Pro" w:hAnsi="Minion Pro" w:cs="Times New Roman"/>
          <w:bCs/>
          <w:sz w:val="24"/>
          <w:szCs w:val="24"/>
          <w:lang w:val="en-US"/>
        </w:rPr>
        <w:t xml:space="preserve"> yang </w:t>
      </w:r>
      <w:proofErr w:type="spellStart"/>
      <w:r w:rsidRPr="000D189B">
        <w:rPr>
          <w:rFonts w:ascii="Minion Pro" w:hAnsi="Minion Pro" w:cs="Times New Roman"/>
          <w:bCs/>
          <w:sz w:val="24"/>
          <w:szCs w:val="24"/>
          <w:lang w:val="en-US"/>
        </w:rPr>
        <w:t>sudah</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jadi</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dalam</w:t>
      </w:r>
      <w:proofErr w:type="spellEnd"/>
      <w:r w:rsidRPr="000D189B">
        <w:rPr>
          <w:rFonts w:ascii="Minion Pro" w:hAnsi="Minion Pro" w:cs="Times New Roman"/>
          <w:bCs/>
          <w:sz w:val="24"/>
          <w:szCs w:val="24"/>
          <w:lang w:val="en-US"/>
        </w:rPr>
        <w:t xml:space="preserve"> kitab </w:t>
      </w:r>
      <w:proofErr w:type="spellStart"/>
      <w:r w:rsidRPr="000D189B">
        <w:rPr>
          <w:rFonts w:ascii="Minion Pro" w:hAnsi="Minion Pro" w:cs="Times New Roman"/>
          <w:bCs/>
          <w:sz w:val="24"/>
          <w:szCs w:val="24"/>
          <w:lang w:val="en-US"/>
        </w:rPr>
        <w:t>fikih</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tadi</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Sementara</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metode</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i/>
          <w:iCs/>
          <w:sz w:val="24"/>
          <w:szCs w:val="24"/>
          <w:lang w:val="en-US"/>
        </w:rPr>
        <w:t>manhajī</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adalah</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mengikuti</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jalan</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pikiran</w:t>
      </w:r>
      <w:proofErr w:type="spellEnd"/>
      <w:r w:rsidRPr="000D189B">
        <w:rPr>
          <w:rFonts w:ascii="Minion Pro" w:hAnsi="Minion Pro" w:cs="Times New Roman"/>
          <w:bCs/>
          <w:sz w:val="24"/>
          <w:szCs w:val="24"/>
          <w:lang w:val="en-US"/>
        </w:rPr>
        <w:t xml:space="preserve"> dan </w:t>
      </w:r>
      <w:proofErr w:type="spellStart"/>
      <w:r w:rsidRPr="000D189B">
        <w:rPr>
          <w:rFonts w:ascii="Minion Pro" w:hAnsi="Minion Pro" w:cs="Times New Roman"/>
          <w:bCs/>
          <w:sz w:val="24"/>
          <w:szCs w:val="24"/>
          <w:lang w:val="en-US"/>
        </w:rPr>
        <w:t>kaidah</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penetapan</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hukum</w:t>
      </w:r>
      <w:proofErr w:type="spellEnd"/>
      <w:r w:rsidRPr="000D189B">
        <w:rPr>
          <w:rFonts w:ascii="Minion Pro" w:hAnsi="Minion Pro" w:cs="Times New Roman"/>
          <w:bCs/>
          <w:sz w:val="24"/>
          <w:szCs w:val="24"/>
          <w:lang w:val="en-US"/>
        </w:rPr>
        <w:t xml:space="preserve"> yang </w:t>
      </w:r>
      <w:proofErr w:type="spellStart"/>
      <w:r w:rsidRPr="000D189B">
        <w:rPr>
          <w:rFonts w:ascii="Minion Pro" w:hAnsi="Minion Pro" w:cs="Times New Roman"/>
          <w:bCs/>
          <w:sz w:val="24"/>
          <w:szCs w:val="24"/>
          <w:lang w:val="en-US"/>
        </w:rPr>
        <w:t>telah</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dirumuskan</w:t>
      </w:r>
      <w:proofErr w:type="spellEnd"/>
      <w:r w:rsidRPr="000D189B">
        <w:rPr>
          <w:rFonts w:ascii="Minion Pro" w:hAnsi="Minion Pro" w:cs="Times New Roman"/>
          <w:bCs/>
          <w:sz w:val="24"/>
          <w:szCs w:val="24"/>
          <w:lang w:val="en-US"/>
        </w:rPr>
        <w:t xml:space="preserve"> oleh ulama-ulama </w:t>
      </w:r>
      <w:proofErr w:type="spellStart"/>
      <w:r w:rsidRPr="000D189B">
        <w:rPr>
          <w:rFonts w:ascii="Minion Pro" w:hAnsi="Minion Pro" w:cs="Times New Roman"/>
          <w:bCs/>
          <w:sz w:val="24"/>
          <w:szCs w:val="24"/>
          <w:lang w:val="en-US"/>
        </w:rPr>
        <w:t>mazhab</w:t>
      </w:r>
      <w:proofErr w:type="spellEnd"/>
      <w:r w:rsidRPr="000D189B">
        <w:rPr>
          <w:rFonts w:ascii="Minion Pro" w:hAnsi="Minion Pro" w:cs="Times New Roman"/>
          <w:bCs/>
          <w:sz w:val="24"/>
          <w:szCs w:val="24"/>
          <w:lang w:val="en-US"/>
        </w:rPr>
        <w:t>.</w:t>
      </w:r>
      <w:r w:rsidRPr="000D189B">
        <w:rPr>
          <w:rFonts w:ascii="Minion Pro" w:hAnsi="Minion Pro" w:cs="Times New Roman"/>
          <w:bCs/>
          <w:sz w:val="24"/>
          <w:szCs w:val="24"/>
          <w:vertAlign w:val="superscript"/>
          <w:lang w:val="en-US"/>
        </w:rPr>
        <w:footnoteReference w:id="27"/>
      </w:r>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Berkaitan</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dengan</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trilogi</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metode</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ini</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dirumuskan</w:t>
      </w:r>
      <w:proofErr w:type="spellEnd"/>
      <w:r w:rsidRPr="000D189B">
        <w:rPr>
          <w:rFonts w:ascii="Minion Pro" w:hAnsi="Minion Pro" w:cs="Times New Roman"/>
          <w:bCs/>
          <w:sz w:val="24"/>
          <w:szCs w:val="24"/>
          <w:lang w:val="en-US"/>
        </w:rPr>
        <w:t xml:space="preserve"> pula </w:t>
      </w:r>
      <w:proofErr w:type="spellStart"/>
      <w:r w:rsidRPr="000D189B">
        <w:rPr>
          <w:rFonts w:ascii="Minion Pro" w:hAnsi="Minion Pro" w:cs="Times New Roman"/>
          <w:bCs/>
          <w:sz w:val="24"/>
          <w:szCs w:val="24"/>
          <w:lang w:val="en-US"/>
        </w:rPr>
        <w:t>penjelasan</w:t>
      </w:r>
      <w:proofErr w:type="spellEnd"/>
      <w:r w:rsidRPr="000D189B">
        <w:rPr>
          <w:rFonts w:ascii="Minion Pro" w:hAnsi="Minion Pro" w:cs="Times New Roman"/>
          <w:bCs/>
          <w:sz w:val="24"/>
          <w:szCs w:val="24"/>
          <w:lang w:val="en-US"/>
        </w:rPr>
        <w:t xml:space="preserve"> term </w:t>
      </w:r>
      <w:proofErr w:type="spellStart"/>
      <w:r w:rsidRPr="000D189B">
        <w:rPr>
          <w:rFonts w:ascii="Minion Pro" w:hAnsi="Minion Pro" w:cs="Times New Roman"/>
          <w:bCs/>
          <w:i/>
          <w:iCs/>
          <w:sz w:val="24"/>
          <w:szCs w:val="24"/>
          <w:lang w:val="en-US"/>
        </w:rPr>
        <w:t>kutub</w:t>
      </w:r>
      <w:proofErr w:type="spellEnd"/>
      <w:r w:rsidRPr="000D189B">
        <w:rPr>
          <w:rFonts w:ascii="Minion Pro" w:hAnsi="Minion Pro" w:cs="Times New Roman"/>
          <w:bCs/>
          <w:i/>
          <w:iCs/>
          <w:sz w:val="24"/>
          <w:szCs w:val="24"/>
          <w:lang w:val="en-US"/>
        </w:rPr>
        <w:t xml:space="preserve"> </w:t>
      </w:r>
      <w:proofErr w:type="spellStart"/>
      <w:proofErr w:type="gramStart"/>
      <w:r w:rsidRPr="000D189B">
        <w:rPr>
          <w:rFonts w:ascii="Minion Pro" w:hAnsi="Minion Pro" w:cs="Times New Roman"/>
          <w:bCs/>
          <w:i/>
          <w:iCs/>
          <w:sz w:val="24"/>
          <w:szCs w:val="24"/>
          <w:lang w:val="en-US"/>
        </w:rPr>
        <w:t>mu‘</w:t>
      </w:r>
      <w:proofErr w:type="gramEnd"/>
      <w:r w:rsidRPr="000D189B">
        <w:rPr>
          <w:rFonts w:ascii="Minion Pro" w:hAnsi="Minion Pro" w:cs="Times New Roman"/>
          <w:bCs/>
          <w:i/>
          <w:iCs/>
          <w:sz w:val="24"/>
          <w:szCs w:val="24"/>
          <w:lang w:val="en-US"/>
        </w:rPr>
        <w:t>tabarah</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sebagai</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standarisasi</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referensi</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dalam</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Bahtsul</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Masail</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mekanisme</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pengambilan</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pendapat</w:t>
      </w:r>
      <w:proofErr w:type="spellEnd"/>
      <w:r w:rsidRPr="000D189B">
        <w:rPr>
          <w:rFonts w:ascii="Minion Pro" w:hAnsi="Minion Pro" w:cs="Times New Roman"/>
          <w:bCs/>
          <w:sz w:val="24"/>
          <w:szCs w:val="24"/>
          <w:lang w:val="en-US"/>
        </w:rPr>
        <w:t xml:space="preserve"> yang </w:t>
      </w:r>
      <w:proofErr w:type="spellStart"/>
      <w:r w:rsidRPr="000D189B">
        <w:rPr>
          <w:rFonts w:ascii="Minion Pro" w:hAnsi="Minion Pro" w:cs="Times New Roman"/>
          <w:bCs/>
          <w:sz w:val="24"/>
          <w:szCs w:val="24"/>
          <w:lang w:val="en-US"/>
        </w:rPr>
        <w:t>termuat</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dalam</w:t>
      </w:r>
      <w:proofErr w:type="spellEnd"/>
      <w:r w:rsidRPr="000D189B">
        <w:rPr>
          <w:rFonts w:ascii="Minion Pro" w:hAnsi="Minion Pro" w:cs="Times New Roman"/>
          <w:bCs/>
          <w:sz w:val="24"/>
          <w:szCs w:val="24"/>
          <w:lang w:val="en-US"/>
        </w:rPr>
        <w:t xml:space="preserve"> kitab-kitab </w:t>
      </w:r>
      <w:proofErr w:type="spellStart"/>
      <w:r w:rsidRPr="000D189B">
        <w:rPr>
          <w:rFonts w:ascii="Minion Pro" w:hAnsi="Minion Pro" w:cs="Times New Roman"/>
          <w:bCs/>
          <w:sz w:val="24"/>
          <w:szCs w:val="24"/>
          <w:lang w:val="en-US"/>
        </w:rPr>
        <w:t>fikih</w:t>
      </w:r>
      <w:proofErr w:type="spellEnd"/>
      <w:r w:rsidRPr="000D189B">
        <w:rPr>
          <w:rFonts w:ascii="Minion Pro" w:hAnsi="Minion Pro" w:cs="Times New Roman"/>
          <w:bCs/>
          <w:sz w:val="24"/>
          <w:szCs w:val="24"/>
          <w:lang w:val="en-US"/>
        </w:rPr>
        <w:t xml:space="preserve">, dan </w:t>
      </w:r>
      <w:proofErr w:type="spellStart"/>
      <w:r w:rsidRPr="000D189B">
        <w:rPr>
          <w:rFonts w:ascii="Minion Pro" w:hAnsi="Minion Pro" w:cs="Times New Roman"/>
          <w:bCs/>
          <w:sz w:val="24"/>
          <w:szCs w:val="24"/>
          <w:lang w:val="en-US"/>
        </w:rPr>
        <w:t>penegasan</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prinsip</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kolektivitas</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dalam</w:t>
      </w:r>
      <w:proofErr w:type="spellEnd"/>
      <w:r w:rsidRPr="000D189B">
        <w:rPr>
          <w:rFonts w:ascii="Minion Pro" w:hAnsi="Minion Pro" w:cs="Times New Roman"/>
          <w:bCs/>
          <w:sz w:val="24"/>
          <w:szCs w:val="24"/>
          <w:lang w:val="en-US"/>
        </w:rPr>
        <w:t xml:space="preserve"> proses </w:t>
      </w:r>
      <w:proofErr w:type="spellStart"/>
      <w:r w:rsidRPr="000D189B">
        <w:rPr>
          <w:rFonts w:ascii="Minion Pro" w:hAnsi="Minion Pro" w:cs="Times New Roman"/>
          <w:bCs/>
          <w:sz w:val="24"/>
          <w:szCs w:val="24"/>
          <w:lang w:val="en-US"/>
        </w:rPr>
        <w:t>analisis</w:t>
      </w:r>
      <w:proofErr w:type="spellEnd"/>
      <w:r w:rsidRPr="000D189B">
        <w:rPr>
          <w:rFonts w:ascii="Minion Pro" w:hAnsi="Minion Pro" w:cs="Times New Roman"/>
          <w:bCs/>
          <w:sz w:val="24"/>
          <w:szCs w:val="24"/>
          <w:lang w:val="en-US"/>
        </w:rPr>
        <w:t>—</w:t>
      </w:r>
      <w:proofErr w:type="spellStart"/>
      <w:r w:rsidRPr="000D189B">
        <w:rPr>
          <w:rFonts w:ascii="Minion Pro" w:hAnsi="Minion Pro" w:cs="Times New Roman"/>
          <w:bCs/>
          <w:sz w:val="24"/>
          <w:szCs w:val="24"/>
          <w:lang w:val="en-US"/>
        </w:rPr>
        <w:t>diistilahkan</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dengan</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i/>
          <w:iCs/>
          <w:sz w:val="24"/>
          <w:szCs w:val="24"/>
          <w:lang w:val="en-US"/>
        </w:rPr>
        <w:t>istinbāth</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secara</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i/>
          <w:iCs/>
          <w:sz w:val="24"/>
          <w:szCs w:val="24"/>
          <w:lang w:val="en-US"/>
        </w:rPr>
        <w:t>jamā‘ī</w:t>
      </w:r>
      <w:proofErr w:type="spellEnd"/>
      <w:r w:rsidRPr="000D189B">
        <w:rPr>
          <w:rFonts w:ascii="Minion Pro" w:hAnsi="Minion Pro" w:cs="Times New Roman"/>
          <w:bCs/>
          <w:sz w:val="24"/>
          <w:szCs w:val="24"/>
          <w:lang w:val="en-US"/>
        </w:rPr>
        <w:t>”.</w:t>
      </w:r>
      <w:r w:rsidRPr="000D189B">
        <w:rPr>
          <w:rFonts w:ascii="Minion Pro" w:hAnsi="Minion Pro" w:cs="Times New Roman"/>
          <w:bCs/>
          <w:sz w:val="24"/>
          <w:szCs w:val="24"/>
          <w:vertAlign w:val="superscript"/>
          <w:lang w:val="en-US"/>
        </w:rPr>
        <w:footnoteReference w:id="28"/>
      </w:r>
    </w:p>
    <w:p w14:paraId="6C246F45" w14:textId="77777777" w:rsidR="000D189B" w:rsidRPr="000D189B" w:rsidRDefault="000D189B" w:rsidP="000D189B">
      <w:pPr>
        <w:tabs>
          <w:tab w:val="left" w:pos="540"/>
        </w:tabs>
        <w:spacing w:line="240" w:lineRule="auto"/>
        <w:jc w:val="both"/>
        <w:rPr>
          <w:rFonts w:ascii="Minion Pro" w:hAnsi="Minion Pro" w:cs="Times New Roman"/>
          <w:bCs/>
          <w:sz w:val="24"/>
          <w:szCs w:val="24"/>
          <w:lang w:val="en-US"/>
        </w:rPr>
      </w:pPr>
      <w:r w:rsidRPr="000D189B">
        <w:rPr>
          <w:rFonts w:ascii="Minion Pro" w:hAnsi="Minion Pro" w:cs="Times New Roman"/>
          <w:bCs/>
          <w:sz w:val="24"/>
          <w:szCs w:val="24"/>
          <w:lang w:val="en-US"/>
        </w:rPr>
        <w:t xml:space="preserve">Ada </w:t>
      </w:r>
      <w:proofErr w:type="spellStart"/>
      <w:r w:rsidRPr="000D189B">
        <w:rPr>
          <w:rFonts w:ascii="Minion Pro" w:hAnsi="Minion Pro" w:cs="Times New Roman"/>
          <w:bCs/>
          <w:sz w:val="24"/>
          <w:szCs w:val="24"/>
          <w:lang w:val="en-US"/>
        </w:rPr>
        <w:t>dua</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hal</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penting</w:t>
      </w:r>
      <w:proofErr w:type="spellEnd"/>
      <w:r w:rsidRPr="000D189B">
        <w:rPr>
          <w:rFonts w:ascii="Minion Pro" w:hAnsi="Minion Pro" w:cs="Times New Roman"/>
          <w:bCs/>
          <w:sz w:val="24"/>
          <w:szCs w:val="24"/>
          <w:lang w:val="en-US"/>
        </w:rPr>
        <w:t xml:space="preserve"> yang </w:t>
      </w:r>
      <w:proofErr w:type="spellStart"/>
      <w:r w:rsidRPr="000D189B">
        <w:rPr>
          <w:rFonts w:ascii="Minion Pro" w:hAnsi="Minion Pro" w:cs="Times New Roman"/>
          <w:bCs/>
          <w:sz w:val="24"/>
          <w:szCs w:val="24"/>
          <w:lang w:val="en-US"/>
        </w:rPr>
        <w:t>perlu</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digarisbawahi</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terkait</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trilogi</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metode</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i/>
          <w:iCs/>
          <w:sz w:val="24"/>
          <w:szCs w:val="24"/>
          <w:lang w:val="en-US"/>
        </w:rPr>
        <w:t>istinbāth</w:t>
      </w:r>
      <w:proofErr w:type="spellEnd"/>
      <w:r w:rsidRPr="000D189B">
        <w:rPr>
          <w:rFonts w:ascii="Minion Pro" w:hAnsi="Minion Pro" w:cs="Times New Roman"/>
          <w:bCs/>
          <w:sz w:val="24"/>
          <w:szCs w:val="24"/>
          <w:lang w:val="en-US"/>
        </w:rPr>
        <w:t xml:space="preserve"> NU </w:t>
      </w:r>
      <w:proofErr w:type="spellStart"/>
      <w:r w:rsidRPr="000D189B">
        <w:rPr>
          <w:rFonts w:ascii="Minion Pro" w:hAnsi="Minion Pro" w:cs="Times New Roman"/>
          <w:bCs/>
          <w:sz w:val="24"/>
          <w:szCs w:val="24"/>
          <w:lang w:val="en-US"/>
        </w:rPr>
        <w:t>tersebut</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Pertama</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trilogi</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metode</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i/>
          <w:iCs/>
          <w:sz w:val="24"/>
          <w:szCs w:val="24"/>
          <w:lang w:val="en-US"/>
        </w:rPr>
        <w:t>istinbāth</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itu</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lahir</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melalui</w:t>
      </w:r>
      <w:proofErr w:type="spellEnd"/>
      <w:r w:rsidRPr="000D189B">
        <w:rPr>
          <w:rFonts w:ascii="Minion Pro" w:hAnsi="Minion Pro" w:cs="Times New Roman"/>
          <w:bCs/>
          <w:sz w:val="24"/>
          <w:szCs w:val="24"/>
          <w:lang w:val="en-US"/>
        </w:rPr>
        <w:t xml:space="preserve"> proses yang </w:t>
      </w:r>
      <w:proofErr w:type="spellStart"/>
      <w:r w:rsidRPr="000D189B">
        <w:rPr>
          <w:rFonts w:ascii="Minion Pro" w:hAnsi="Minion Pro" w:cs="Times New Roman"/>
          <w:bCs/>
          <w:sz w:val="24"/>
          <w:szCs w:val="24"/>
          <w:lang w:val="en-US"/>
        </w:rPr>
        <w:t>tidak</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mudah</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yakni</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melalui</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serangkaian</w:t>
      </w:r>
      <w:proofErr w:type="spellEnd"/>
      <w:r w:rsidRPr="000D189B">
        <w:rPr>
          <w:rFonts w:ascii="Minion Pro" w:hAnsi="Minion Pro" w:cs="Times New Roman"/>
          <w:bCs/>
          <w:sz w:val="24"/>
          <w:szCs w:val="24"/>
          <w:lang w:val="en-US"/>
        </w:rPr>
        <w:t xml:space="preserve"> forum </w:t>
      </w:r>
      <w:proofErr w:type="spellStart"/>
      <w:r w:rsidRPr="000D189B">
        <w:rPr>
          <w:rFonts w:ascii="Minion Pro" w:hAnsi="Minion Pro" w:cs="Times New Roman"/>
          <w:bCs/>
          <w:sz w:val="24"/>
          <w:szCs w:val="24"/>
          <w:lang w:val="en-US"/>
        </w:rPr>
        <w:t>diskusi</w:t>
      </w:r>
      <w:proofErr w:type="spellEnd"/>
      <w:r w:rsidRPr="000D189B">
        <w:rPr>
          <w:rFonts w:ascii="Minion Pro" w:hAnsi="Minion Pro" w:cs="Times New Roman"/>
          <w:bCs/>
          <w:sz w:val="24"/>
          <w:szCs w:val="24"/>
          <w:lang w:val="en-US"/>
        </w:rPr>
        <w:t xml:space="preserve"> yang </w:t>
      </w:r>
      <w:proofErr w:type="spellStart"/>
      <w:r w:rsidRPr="000D189B">
        <w:rPr>
          <w:rFonts w:ascii="Minion Pro" w:hAnsi="Minion Pro" w:cs="Times New Roman"/>
          <w:bCs/>
          <w:sz w:val="24"/>
          <w:szCs w:val="24"/>
          <w:lang w:val="en-US"/>
        </w:rPr>
        <w:t>sarat</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dengan</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perdebatan</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seperti</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telah</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diuraikan</w:t>
      </w:r>
      <w:proofErr w:type="spellEnd"/>
      <w:r w:rsidRPr="000D189B">
        <w:rPr>
          <w:rFonts w:ascii="Minion Pro" w:hAnsi="Minion Pro" w:cs="Times New Roman"/>
          <w:bCs/>
          <w:sz w:val="24"/>
          <w:szCs w:val="24"/>
          <w:lang w:val="en-US"/>
        </w:rPr>
        <w:t xml:space="preserve"> di </w:t>
      </w:r>
      <w:proofErr w:type="spellStart"/>
      <w:r w:rsidRPr="000D189B">
        <w:rPr>
          <w:rFonts w:ascii="Minion Pro" w:hAnsi="Minion Pro" w:cs="Times New Roman"/>
          <w:bCs/>
          <w:sz w:val="24"/>
          <w:szCs w:val="24"/>
          <w:lang w:val="en-US"/>
        </w:rPr>
        <w:t>atas</w:t>
      </w:r>
      <w:proofErr w:type="spellEnd"/>
      <w:r w:rsidRPr="000D189B">
        <w:rPr>
          <w:rFonts w:ascii="Minion Pro" w:hAnsi="Minion Pro" w:cs="Times New Roman"/>
          <w:bCs/>
          <w:sz w:val="24"/>
          <w:szCs w:val="24"/>
          <w:lang w:val="en-US"/>
        </w:rPr>
        <w:t xml:space="preserve">. Proses </w:t>
      </w:r>
      <w:proofErr w:type="spellStart"/>
      <w:r w:rsidRPr="000D189B">
        <w:rPr>
          <w:rFonts w:ascii="Minion Pro" w:hAnsi="Minion Pro" w:cs="Times New Roman"/>
          <w:bCs/>
          <w:sz w:val="24"/>
          <w:szCs w:val="24"/>
          <w:lang w:val="en-US"/>
        </w:rPr>
        <w:t>lahirnya</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istilah</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i/>
          <w:iCs/>
          <w:sz w:val="24"/>
          <w:szCs w:val="24"/>
          <w:lang w:val="en-US"/>
        </w:rPr>
        <w:t>ilhāq</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dari</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rumusan</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trilogi</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metode</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i/>
          <w:iCs/>
          <w:sz w:val="24"/>
          <w:szCs w:val="24"/>
          <w:lang w:val="en-US"/>
        </w:rPr>
        <w:t>istinbāth</w:t>
      </w:r>
      <w:proofErr w:type="spellEnd"/>
      <w:r w:rsidRPr="000D189B">
        <w:rPr>
          <w:rFonts w:ascii="Minion Pro" w:hAnsi="Minion Pro" w:cs="Times New Roman"/>
          <w:bCs/>
          <w:sz w:val="24"/>
          <w:szCs w:val="24"/>
          <w:lang w:val="en-US"/>
        </w:rPr>
        <w:t xml:space="preserve"> juga </w:t>
      </w:r>
      <w:proofErr w:type="spellStart"/>
      <w:r w:rsidRPr="000D189B">
        <w:rPr>
          <w:rFonts w:ascii="Minion Pro" w:hAnsi="Minion Pro" w:cs="Times New Roman"/>
          <w:bCs/>
          <w:sz w:val="24"/>
          <w:szCs w:val="24"/>
          <w:lang w:val="en-US"/>
        </w:rPr>
        <w:t>menggambarkan</w:t>
      </w:r>
      <w:proofErr w:type="spellEnd"/>
      <w:r w:rsidRPr="000D189B">
        <w:rPr>
          <w:rFonts w:ascii="Minion Pro" w:hAnsi="Minion Pro" w:cs="Times New Roman"/>
          <w:bCs/>
          <w:sz w:val="24"/>
          <w:szCs w:val="24"/>
          <w:lang w:val="en-US"/>
        </w:rPr>
        <w:t xml:space="preserve"> proses yang </w:t>
      </w:r>
      <w:proofErr w:type="spellStart"/>
      <w:r w:rsidRPr="000D189B">
        <w:rPr>
          <w:rFonts w:ascii="Minion Pro" w:hAnsi="Minion Pro" w:cs="Times New Roman"/>
          <w:bCs/>
          <w:sz w:val="24"/>
          <w:szCs w:val="24"/>
          <w:lang w:val="en-US"/>
        </w:rPr>
        <w:t>berliku</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tersebut</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Seperti</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dikemukakan</w:t>
      </w:r>
      <w:proofErr w:type="spellEnd"/>
      <w:r w:rsidRPr="000D189B">
        <w:rPr>
          <w:rFonts w:ascii="Minion Pro" w:hAnsi="Minion Pro" w:cs="Times New Roman"/>
          <w:bCs/>
          <w:sz w:val="24"/>
          <w:szCs w:val="24"/>
          <w:lang w:val="en-US"/>
        </w:rPr>
        <w:t xml:space="preserve"> oleh </w:t>
      </w:r>
      <w:proofErr w:type="spellStart"/>
      <w:r w:rsidRPr="000D189B">
        <w:rPr>
          <w:rFonts w:ascii="Minion Pro" w:hAnsi="Minion Pro" w:cs="Times New Roman"/>
          <w:bCs/>
          <w:sz w:val="24"/>
          <w:szCs w:val="24"/>
          <w:lang w:val="en-US"/>
        </w:rPr>
        <w:t>Kiai</w:t>
      </w:r>
      <w:proofErr w:type="spellEnd"/>
      <w:r w:rsidRPr="000D189B">
        <w:rPr>
          <w:rFonts w:ascii="Minion Pro" w:hAnsi="Minion Pro" w:cs="Times New Roman"/>
          <w:bCs/>
          <w:sz w:val="24"/>
          <w:szCs w:val="24"/>
          <w:lang w:val="en-US"/>
        </w:rPr>
        <w:t xml:space="preserve"> Aziz </w:t>
      </w:r>
      <w:proofErr w:type="spellStart"/>
      <w:r w:rsidRPr="000D189B">
        <w:rPr>
          <w:rFonts w:ascii="Minion Pro" w:hAnsi="Minion Pro" w:cs="Times New Roman"/>
          <w:bCs/>
          <w:sz w:val="24"/>
          <w:szCs w:val="24"/>
          <w:lang w:val="en-US"/>
        </w:rPr>
        <w:t>Masyhuri</w:t>
      </w:r>
      <w:proofErr w:type="spellEnd"/>
      <w:r w:rsidRPr="000D189B">
        <w:rPr>
          <w:rFonts w:ascii="Minion Pro" w:hAnsi="Minion Pro" w:cs="Times New Roman"/>
          <w:bCs/>
          <w:sz w:val="24"/>
          <w:szCs w:val="24"/>
          <w:lang w:val="en-US"/>
        </w:rPr>
        <w:t xml:space="preserve"> (w. 2017), term “</w:t>
      </w:r>
      <w:proofErr w:type="spellStart"/>
      <w:r w:rsidRPr="000D189B">
        <w:rPr>
          <w:rFonts w:ascii="Minion Pro" w:hAnsi="Minion Pro" w:cs="Times New Roman"/>
          <w:bCs/>
          <w:i/>
          <w:iCs/>
          <w:sz w:val="24"/>
          <w:szCs w:val="24"/>
          <w:lang w:val="en-US"/>
        </w:rPr>
        <w:t>ilhāq</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tidak</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muncul</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tiba-tiba</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melainkan</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harus</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melalui</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serangkaian</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perdebatan</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sengit</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terkait</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perlunya</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kiai-kiai</w:t>
      </w:r>
      <w:proofErr w:type="spellEnd"/>
      <w:r w:rsidRPr="000D189B">
        <w:rPr>
          <w:rFonts w:ascii="Minion Pro" w:hAnsi="Minion Pro" w:cs="Times New Roman"/>
          <w:bCs/>
          <w:sz w:val="24"/>
          <w:szCs w:val="24"/>
          <w:lang w:val="en-US"/>
        </w:rPr>
        <w:t xml:space="preserve"> NU </w:t>
      </w:r>
      <w:proofErr w:type="spellStart"/>
      <w:r w:rsidRPr="000D189B">
        <w:rPr>
          <w:rFonts w:ascii="Minion Pro" w:hAnsi="Minion Pro" w:cs="Times New Roman"/>
          <w:bCs/>
          <w:sz w:val="24"/>
          <w:szCs w:val="24"/>
          <w:lang w:val="en-US"/>
        </w:rPr>
        <w:t>menggunakan</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analogi</w:t>
      </w:r>
      <w:proofErr w:type="spellEnd"/>
      <w:r w:rsidRPr="000D189B">
        <w:rPr>
          <w:rFonts w:ascii="Minion Pro" w:hAnsi="Minion Pro" w:cs="Times New Roman"/>
          <w:bCs/>
          <w:sz w:val="24"/>
          <w:szCs w:val="24"/>
          <w:lang w:val="en-US"/>
        </w:rPr>
        <w:t>” (</w:t>
      </w:r>
      <w:proofErr w:type="spellStart"/>
      <w:r w:rsidRPr="000D189B">
        <w:rPr>
          <w:rFonts w:ascii="Minion Pro" w:hAnsi="Minion Pro" w:cs="Times New Roman"/>
          <w:bCs/>
          <w:i/>
          <w:iCs/>
          <w:sz w:val="24"/>
          <w:szCs w:val="24"/>
          <w:lang w:val="en-US"/>
        </w:rPr>
        <w:t>qiyās</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dalam</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Bahtsul</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Masail</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Mayoritas</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kiai</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menyuarakan</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penolakan</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karena</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i/>
          <w:iCs/>
          <w:sz w:val="24"/>
          <w:szCs w:val="24"/>
          <w:lang w:val="en-US"/>
        </w:rPr>
        <w:t>qiyās</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menurut</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mereka</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hanya</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bisa</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dilakukan</w:t>
      </w:r>
      <w:proofErr w:type="spellEnd"/>
      <w:r w:rsidRPr="000D189B">
        <w:rPr>
          <w:rFonts w:ascii="Minion Pro" w:hAnsi="Minion Pro" w:cs="Times New Roman"/>
          <w:bCs/>
          <w:sz w:val="24"/>
          <w:szCs w:val="24"/>
          <w:lang w:val="en-US"/>
        </w:rPr>
        <w:t xml:space="preserve"> oleh mujtahid. </w:t>
      </w:r>
      <w:proofErr w:type="spellStart"/>
      <w:r w:rsidRPr="000D189B">
        <w:rPr>
          <w:rFonts w:ascii="Minion Pro" w:hAnsi="Minion Pro" w:cs="Times New Roman"/>
          <w:bCs/>
          <w:sz w:val="24"/>
          <w:szCs w:val="24"/>
          <w:lang w:val="en-US"/>
        </w:rPr>
        <w:t>Akhirnya</w:t>
      </w:r>
      <w:proofErr w:type="spellEnd"/>
      <w:r w:rsidRPr="000D189B">
        <w:rPr>
          <w:rFonts w:ascii="Minion Pro" w:hAnsi="Minion Pro" w:cs="Times New Roman"/>
          <w:bCs/>
          <w:sz w:val="24"/>
          <w:szCs w:val="24"/>
          <w:lang w:val="en-US"/>
        </w:rPr>
        <w:t xml:space="preserve">, pada </w:t>
      </w:r>
      <w:proofErr w:type="spellStart"/>
      <w:r w:rsidRPr="000D189B">
        <w:rPr>
          <w:rFonts w:ascii="Minion Pro" w:hAnsi="Minion Pro" w:cs="Times New Roman"/>
          <w:bCs/>
          <w:sz w:val="24"/>
          <w:szCs w:val="24"/>
          <w:lang w:val="en-US"/>
        </w:rPr>
        <w:t>tahun</w:t>
      </w:r>
      <w:proofErr w:type="spellEnd"/>
      <w:r w:rsidRPr="000D189B">
        <w:rPr>
          <w:rFonts w:ascii="Minion Pro" w:hAnsi="Minion Pro" w:cs="Times New Roman"/>
          <w:bCs/>
          <w:sz w:val="24"/>
          <w:szCs w:val="24"/>
          <w:lang w:val="en-US"/>
        </w:rPr>
        <w:t xml:space="preserve"> 1992, </w:t>
      </w:r>
      <w:proofErr w:type="spellStart"/>
      <w:r w:rsidRPr="000D189B">
        <w:rPr>
          <w:rFonts w:ascii="Minion Pro" w:hAnsi="Minion Pro" w:cs="Times New Roman"/>
          <w:bCs/>
          <w:sz w:val="24"/>
          <w:szCs w:val="24"/>
          <w:lang w:val="en-US"/>
        </w:rPr>
        <w:t>tampil</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Kiai</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Maemun</w:t>
      </w:r>
      <w:proofErr w:type="spellEnd"/>
      <w:r w:rsidRPr="000D189B">
        <w:rPr>
          <w:rFonts w:ascii="Minion Pro" w:hAnsi="Minion Pro" w:cs="Times New Roman"/>
          <w:bCs/>
          <w:sz w:val="24"/>
          <w:szCs w:val="24"/>
          <w:lang w:val="en-US"/>
        </w:rPr>
        <w:t xml:space="preserve"> Zubair </w:t>
      </w:r>
      <w:proofErr w:type="spellStart"/>
      <w:r w:rsidRPr="000D189B">
        <w:rPr>
          <w:rFonts w:ascii="Minion Pro" w:hAnsi="Minion Pro" w:cs="Times New Roman"/>
          <w:bCs/>
          <w:sz w:val="24"/>
          <w:szCs w:val="24"/>
          <w:lang w:val="en-US"/>
        </w:rPr>
        <w:t>dari</w:t>
      </w:r>
      <w:proofErr w:type="spellEnd"/>
      <w:r w:rsidRPr="000D189B">
        <w:rPr>
          <w:rFonts w:ascii="Minion Pro" w:hAnsi="Minion Pro" w:cs="Times New Roman"/>
          <w:bCs/>
          <w:sz w:val="24"/>
          <w:szCs w:val="24"/>
          <w:lang w:val="en-US"/>
        </w:rPr>
        <w:t xml:space="preserve"> Sarang, </w:t>
      </w:r>
      <w:proofErr w:type="spellStart"/>
      <w:r w:rsidRPr="000D189B">
        <w:rPr>
          <w:rFonts w:ascii="Minion Pro" w:hAnsi="Minion Pro" w:cs="Times New Roman"/>
          <w:bCs/>
          <w:sz w:val="24"/>
          <w:szCs w:val="24"/>
          <w:lang w:val="en-US"/>
        </w:rPr>
        <w:t>Rembang</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menawarkan</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istilah</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i/>
          <w:iCs/>
          <w:sz w:val="24"/>
          <w:szCs w:val="24"/>
          <w:lang w:val="en-US"/>
        </w:rPr>
        <w:t>ilhāq</w:t>
      </w:r>
      <w:proofErr w:type="spellEnd"/>
      <w:r w:rsidRPr="000D189B">
        <w:rPr>
          <w:rFonts w:ascii="Minion Pro" w:hAnsi="Minion Pro" w:cs="Times New Roman"/>
          <w:bCs/>
          <w:sz w:val="24"/>
          <w:szCs w:val="24"/>
          <w:lang w:val="en-US"/>
        </w:rPr>
        <w:t xml:space="preserve">” yang </w:t>
      </w:r>
      <w:proofErr w:type="spellStart"/>
      <w:r w:rsidRPr="000D189B">
        <w:rPr>
          <w:rFonts w:ascii="Minion Pro" w:hAnsi="Minion Pro" w:cs="Times New Roman"/>
          <w:bCs/>
          <w:sz w:val="24"/>
          <w:szCs w:val="24"/>
          <w:lang w:val="en-US"/>
        </w:rPr>
        <w:t>dia</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simpulkan</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dari</w:t>
      </w:r>
      <w:proofErr w:type="spellEnd"/>
      <w:r w:rsidRPr="000D189B">
        <w:rPr>
          <w:rFonts w:ascii="Minion Pro" w:hAnsi="Minion Pro" w:cs="Times New Roman"/>
          <w:bCs/>
          <w:sz w:val="24"/>
          <w:szCs w:val="24"/>
          <w:lang w:val="en-US"/>
        </w:rPr>
        <w:t xml:space="preserve"> kitab </w:t>
      </w:r>
      <w:r w:rsidRPr="000D189B">
        <w:rPr>
          <w:rFonts w:ascii="Minion Pro" w:hAnsi="Minion Pro" w:cs="Times New Roman"/>
          <w:bCs/>
          <w:i/>
          <w:iCs/>
          <w:sz w:val="24"/>
          <w:szCs w:val="24"/>
          <w:lang w:val="en-US"/>
        </w:rPr>
        <w:t>al-</w:t>
      </w:r>
      <w:proofErr w:type="spellStart"/>
      <w:r w:rsidRPr="000D189B">
        <w:rPr>
          <w:rFonts w:ascii="Minion Pro" w:hAnsi="Minion Pro" w:cs="Times New Roman"/>
          <w:bCs/>
          <w:i/>
          <w:iCs/>
          <w:sz w:val="24"/>
          <w:szCs w:val="24"/>
          <w:lang w:val="en-US"/>
        </w:rPr>
        <w:t>Asybāh</w:t>
      </w:r>
      <w:proofErr w:type="spellEnd"/>
      <w:r w:rsidRPr="000D189B">
        <w:rPr>
          <w:rFonts w:ascii="Minion Pro" w:hAnsi="Minion Pro" w:cs="Times New Roman"/>
          <w:bCs/>
          <w:i/>
          <w:iCs/>
          <w:sz w:val="24"/>
          <w:szCs w:val="24"/>
          <w:lang w:val="en-US"/>
        </w:rPr>
        <w:t xml:space="preserve"> </w:t>
      </w:r>
      <w:proofErr w:type="spellStart"/>
      <w:r w:rsidRPr="000D189B">
        <w:rPr>
          <w:rFonts w:ascii="Minion Pro" w:hAnsi="Minion Pro" w:cs="Times New Roman"/>
          <w:bCs/>
          <w:i/>
          <w:iCs/>
          <w:sz w:val="24"/>
          <w:szCs w:val="24"/>
          <w:lang w:val="en-US"/>
        </w:rPr>
        <w:t>wa</w:t>
      </w:r>
      <w:proofErr w:type="spellEnd"/>
      <w:r w:rsidRPr="000D189B">
        <w:rPr>
          <w:rFonts w:ascii="Minion Pro" w:hAnsi="Minion Pro" w:cs="Times New Roman"/>
          <w:bCs/>
          <w:i/>
          <w:iCs/>
          <w:sz w:val="24"/>
          <w:szCs w:val="24"/>
          <w:lang w:val="en-US"/>
        </w:rPr>
        <w:t xml:space="preserve"> al-</w:t>
      </w:r>
      <w:proofErr w:type="spellStart"/>
      <w:r w:rsidRPr="000D189B">
        <w:rPr>
          <w:rFonts w:ascii="Minion Pro" w:hAnsi="Minion Pro" w:cs="Times New Roman"/>
          <w:bCs/>
          <w:i/>
          <w:iCs/>
          <w:sz w:val="24"/>
          <w:szCs w:val="24"/>
          <w:lang w:val="en-US"/>
        </w:rPr>
        <w:t>Nazhā’ir</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karya</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Jalāl</w:t>
      </w:r>
      <w:proofErr w:type="spellEnd"/>
      <w:r w:rsidRPr="000D189B">
        <w:rPr>
          <w:rFonts w:ascii="Minion Pro" w:hAnsi="Minion Pro" w:cs="Times New Roman"/>
          <w:bCs/>
          <w:sz w:val="24"/>
          <w:szCs w:val="24"/>
          <w:lang w:val="en-US"/>
        </w:rPr>
        <w:t xml:space="preserve"> al-</w:t>
      </w:r>
      <w:proofErr w:type="spellStart"/>
      <w:r w:rsidRPr="000D189B">
        <w:rPr>
          <w:rFonts w:ascii="Minion Pro" w:hAnsi="Minion Pro" w:cs="Times New Roman"/>
          <w:bCs/>
          <w:sz w:val="24"/>
          <w:szCs w:val="24"/>
          <w:lang w:val="en-US"/>
        </w:rPr>
        <w:t>Dīn</w:t>
      </w:r>
      <w:proofErr w:type="spellEnd"/>
      <w:r w:rsidRPr="000D189B">
        <w:rPr>
          <w:rFonts w:ascii="Minion Pro" w:hAnsi="Minion Pro" w:cs="Times New Roman"/>
          <w:bCs/>
          <w:sz w:val="24"/>
          <w:szCs w:val="24"/>
          <w:lang w:val="en-US"/>
        </w:rPr>
        <w:t xml:space="preserve"> as-</w:t>
      </w:r>
      <w:proofErr w:type="spellStart"/>
      <w:r w:rsidRPr="000D189B">
        <w:rPr>
          <w:rFonts w:ascii="Minion Pro" w:hAnsi="Minion Pro" w:cs="Times New Roman"/>
          <w:bCs/>
          <w:sz w:val="24"/>
          <w:szCs w:val="24"/>
          <w:lang w:val="en-US"/>
        </w:rPr>
        <w:t>Suyūthī</w:t>
      </w:r>
      <w:proofErr w:type="spellEnd"/>
      <w:r w:rsidRPr="000D189B">
        <w:rPr>
          <w:rFonts w:ascii="Minion Pro" w:hAnsi="Minion Pro" w:cs="Times New Roman"/>
          <w:bCs/>
          <w:sz w:val="24"/>
          <w:szCs w:val="24"/>
          <w:lang w:val="en-US"/>
        </w:rPr>
        <w:t xml:space="preserve"> (w. 1505). </w:t>
      </w:r>
      <w:proofErr w:type="spellStart"/>
      <w:r w:rsidRPr="000D189B">
        <w:rPr>
          <w:rFonts w:ascii="Minion Pro" w:hAnsi="Minion Pro" w:cs="Times New Roman"/>
          <w:bCs/>
          <w:sz w:val="24"/>
          <w:szCs w:val="24"/>
          <w:lang w:val="en-US"/>
        </w:rPr>
        <w:t>Usulan</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ini</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kemudian</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disetujui</w:t>
      </w:r>
      <w:proofErr w:type="spellEnd"/>
      <w:r w:rsidRPr="000D189B">
        <w:rPr>
          <w:rFonts w:ascii="Minion Pro" w:hAnsi="Minion Pro" w:cs="Times New Roman"/>
          <w:bCs/>
          <w:sz w:val="24"/>
          <w:szCs w:val="24"/>
          <w:lang w:val="en-US"/>
        </w:rPr>
        <w:t xml:space="preserve"> oleh </w:t>
      </w:r>
      <w:proofErr w:type="spellStart"/>
      <w:r w:rsidRPr="000D189B">
        <w:rPr>
          <w:rFonts w:ascii="Minion Pro" w:hAnsi="Minion Pro" w:cs="Times New Roman"/>
          <w:bCs/>
          <w:sz w:val="24"/>
          <w:szCs w:val="24"/>
          <w:lang w:val="en-US"/>
        </w:rPr>
        <w:t>kiai-kiai</w:t>
      </w:r>
      <w:proofErr w:type="spellEnd"/>
      <w:r w:rsidRPr="000D189B">
        <w:rPr>
          <w:rFonts w:ascii="Minion Pro" w:hAnsi="Minion Pro" w:cs="Times New Roman"/>
          <w:bCs/>
          <w:sz w:val="24"/>
          <w:szCs w:val="24"/>
          <w:lang w:val="en-US"/>
        </w:rPr>
        <w:t xml:space="preserve"> NU </w:t>
      </w:r>
      <w:proofErr w:type="spellStart"/>
      <w:r w:rsidRPr="000D189B">
        <w:rPr>
          <w:rFonts w:ascii="Minion Pro" w:hAnsi="Minion Pro" w:cs="Times New Roman"/>
          <w:bCs/>
          <w:sz w:val="24"/>
          <w:szCs w:val="24"/>
          <w:lang w:val="en-US"/>
        </w:rPr>
        <w:t>lainnya</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karena</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i/>
          <w:iCs/>
          <w:sz w:val="24"/>
          <w:szCs w:val="24"/>
          <w:lang w:val="en-US"/>
        </w:rPr>
        <w:t>ilhāq</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dipandang</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tidak</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sama</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tingkatannya</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dengan</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i/>
          <w:iCs/>
          <w:sz w:val="24"/>
          <w:szCs w:val="24"/>
          <w:lang w:val="en-US"/>
        </w:rPr>
        <w:t>qiyās</w:t>
      </w:r>
      <w:proofErr w:type="spellEnd"/>
      <w:r w:rsidRPr="000D189B">
        <w:rPr>
          <w:rFonts w:ascii="Minion Pro" w:hAnsi="Minion Pro" w:cs="Times New Roman"/>
          <w:bCs/>
          <w:sz w:val="24"/>
          <w:szCs w:val="24"/>
          <w:lang w:val="en-US"/>
        </w:rPr>
        <w:t>.</w:t>
      </w:r>
      <w:r w:rsidRPr="000D189B">
        <w:rPr>
          <w:rFonts w:ascii="Minion Pro" w:hAnsi="Minion Pro" w:cs="Times New Roman"/>
          <w:bCs/>
          <w:sz w:val="24"/>
          <w:szCs w:val="24"/>
          <w:vertAlign w:val="superscript"/>
          <w:lang w:val="en-US"/>
        </w:rPr>
        <w:footnoteReference w:id="29"/>
      </w:r>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Terlepas</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dari</w:t>
      </w:r>
      <w:proofErr w:type="spellEnd"/>
      <w:r w:rsidRPr="000D189B">
        <w:rPr>
          <w:rFonts w:ascii="Minion Pro" w:hAnsi="Minion Pro" w:cs="Times New Roman"/>
          <w:bCs/>
          <w:sz w:val="24"/>
          <w:szCs w:val="24"/>
          <w:lang w:val="en-US"/>
        </w:rPr>
        <w:t xml:space="preserve"> problem </w:t>
      </w:r>
      <w:proofErr w:type="spellStart"/>
      <w:r w:rsidRPr="000D189B">
        <w:rPr>
          <w:rFonts w:ascii="Minion Pro" w:hAnsi="Minion Pro" w:cs="Times New Roman"/>
          <w:bCs/>
          <w:sz w:val="24"/>
          <w:szCs w:val="24"/>
          <w:lang w:val="en-US"/>
        </w:rPr>
        <w:t>metodologisnya</w:t>
      </w:r>
      <w:proofErr w:type="spellEnd"/>
      <w:r w:rsidRPr="000D189B">
        <w:rPr>
          <w:rFonts w:ascii="Minion Pro" w:hAnsi="Minion Pro" w:cs="Times New Roman"/>
          <w:bCs/>
          <w:sz w:val="24"/>
          <w:szCs w:val="24"/>
          <w:lang w:val="en-US"/>
        </w:rPr>
        <w:t>,</w:t>
      </w:r>
      <w:r w:rsidRPr="000D189B">
        <w:rPr>
          <w:rFonts w:ascii="Minion Pro" w:hAnsi="Minion Pro" w:cs="Times New Roman"/>
          <w:bCs/>
          <w:sz w:val="24"/>
          <w:szCs w:val="24"/>
          <w:vertAlign w:val="superscript"/>
          <w:lang w:val="en-US"/>
        </w:rPr>
        <w:footnoteReference w:id="30"/>
      </w:r>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konsep</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i/>
          <w:iCs/>
          <w:sz w:val="24"/>
          <w:szCs w:val="24"/>
          <w:lang w:val="en-US"/>
        </w:rPr>
        <w:t>ilhāq</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ketika</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itu</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bisa</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disebut</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sebagai</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politik</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akomodasi</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antara</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gagasan</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pembaruan</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pemikiran</w:t>
      </w:r>
      <w:proofErr w:type="spellEnd"/>
      <w:r w:rsidRPr="000D189B">
        <w:rPr>
          <w:rFonts w:ascii="Minion Pro" w:hAnsi="Minion Pro" w:cs="Times New Roman"/>
          <w:bCs/>
          <w:sz w:val="24"/>
          <w:szCs w:val="24"/>
          <w:lang w:val="en-US"/>
        </w:rPr>
        <w:t xml:space="preserve"> NU, di </w:t>
      </w:r>
      <w:proofErr w:type="spellStart"/>
      <w:r w:rsidRPr="000D189B">
        <w:rPr>
          <w:rFonts w:ascii="Minion Pro" w:hAnsi="Minion Pro" w:cs="Times New Roman"/>
          <w:bCs/>
          <w:sz w:val="24"/>
          <w:szCs w:val="24"/>
          <w:lang w:val="en-US"/>
        </w:rPr>
        <w:t>satu</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pihak</w:t>
      </w:r>
      <w:proofErr w:type="spellEnd"/>
      <w:r w:rsidRPr="000D189B">
        <w:rPr>
          <w:rFonts w:ascii="Minion Pro" w:hAnsi="Minion Pro" w:cs="Times New Roman"/>
          <w:bCs/>
          <w:sz w:val="24"/>
          <w:szCs w:val="24"/>
          <w:lang w:val="en-US"/>
        </w:rPr>
        <w:t xml:space="preserve">, dan </w:t>
      </w:r>
      <w:proofErr w:type="spellStart"/>
      <w:r w:rsidRPr="000D189B">
        <w:rPr>
          <w:rFonts w:ascii="Minion Pro" w:hAnsi="Minion Pro" w:cs="Times New Roman"/>
          <w:bCs/>
          <w:sz w:val="24"/>
          <w:szCs w:val="24"/>
          <w:lang w:val="en-US"/>
        </w:rPr>
        <w:t>keteguhan</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kiai-kiai</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konservatif</w:t>
      </w:r>
      <w:proofErr w:type="spellEnd"/>
      <w:r w:rsidRPr="000D189B">
        <w:rPr>
          <w:rFonts w:ascii="Minion Pro" w:hAnsi="Minion Pro" w:cs="Times New Roman"/>
          <w:bCs/>
          <w:sz w:val="24"/>
          <w:szCs w:val="24"/>
          <w:lang w:val="en-US"/>
        </w:rPr>
        <w:t xml:space="preserve"> NU </w:t>
      </w:r>
      <w:proofErr w:type="spellStart"/>
      <w:r w:rsidRPr="000D189B">
        <w:rPr>
          <w:rFonts w:ascii="Minion Pro" w:hAnsi="Minion Pro" w:cs="Times New Roman"/>
          <w:bCs/>
          <w:sz w:val="24"/>
          <w:szCs w:val="24"/>
          <w:lang w:val="en-US"/>
        </w:rPr>
        <w:t>dalam</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menolak</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penggunaan</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i/>
          <w:iCs/>
          <w:sz w:val="24"/>
          <w:szCs w:val="24"/>
          <w:lang w:val="en-US"/>
        </w:rPr>
        <w:t>qiyās</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dalam</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Bahtsul</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Masail</w:t>
      </w:r>
      <w:proofErr w:type="spellEnd"/>
      <w:r w:rsidRPr="000D189B">
        <w:rPr>
          <w:rFonts w:ascii="Minion Pro" w:hAnsi="Minion Pro" w:cs="Times New Roman"/>
          <w:bCs/>
          <w:sz w:val="24"/>
          <w:szCs w:val="24"/>
          <w:lang w:val="en-US"/>
        </w:rPr>
        <w:t xml:space="preserve">, di </w:t>
      </w:r>
      <w:proofErr w:type="spellStart"/>
      <w:r w:rsidRPr="000D189B">
        <w:rPr>
          <w:rFonts w:ascii="Minion Pro" w:hAnsi="Minion Pro" w:cs="Times New Roman"/>
          <w:bCs/>
          <w:sz w:val="24"/>
          <w:szCs w:val="24"/>
          <w:lang w:val="en-US"/>
        </w:rPr>
        <w:t>pihak</w:t>
      </w:r>
      <w:proofErr w:type="spellEnd"/>
      <w:r w:rsidRPr="000D189B">
        <w:rPr>
          <w:rFonts w:ascii="Minion Pro" w:hAnsi="Minion Pro" w:cs="Times New Roman"/>
          <w:bCs/>
          <w:sz w:val="24"/>
          <w:szCs w:val="24"/>
          <w:lang w:val="en-US"/>
        </w:rPr>
        <w:t xml:space="preserve"> yang lain.</w:t>
      </w:r>
    </w:p>
    <w:p w14:paraId="71ACA7E5" w14:textId="77777777" w:rsidR="000D189B" w:rsidRDefault="000D189B" w:rsidP="000D189B">
      <w:pPr>
        <w:tabs>
          <w:tab w:val="left" w:pos="540"/>
        </w:tabs>
        <w:spacing w:line="240" w:lineRule="auto"/>
        <w:jc w:val="both"/>
        <w:rPr>
          <w:rFonts w:ascii="Minion Pro" w:hAnsi="Minion Pro" w:cs="Times New Roman"/>
          <w:bCs/>
          <w:sz w:val="24"/>
          <w:szCs w:val="24"/>
          <w:lang w:val="en-US"/>
        </w:rPr>
      </w:pPr>
      <w:proofErr w:type="spellStart"/>
      <w:r w:rsidRPr="000D189B">
        <w:rPr>
          <w:rFonts w:ascii="Minion Pro" w:hAnsi="Minion Pro" w:cs="Times New Roman"/>
          <w:bCs/>
          <w:sz w:val="24"/>
          <w:szCs w:val="24"/>
          <w:lang w:val="en-US"/>
        </w:rPr>
        <w:t>Kedua</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seperti</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akan</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dibuktikan</w:t>
      </w:r>
      <w:proofErr w:type="spellEnd"/>
      <w:r w:rsidRPr="000D189B">
        <w:rPr>
          <w:rFonts w:ascii="Minion Pro" w:hAnsi="Minion Pro" w:cs="Times New Roman"/>
          <w:bCs/>
          <w:sz w:val="24"/>
          <w:szCs w:val="24"/>
          <w:lang w:val="en-US"/>
        </w:rPr>
        <w:t xml:space="preserve"> pada </w:t>
      </w:r>
      <w:proofErr w:type="spellStart"/>
      <w:r w:rsidRPr="000D189B">
        <w:rPr>
          <w:rFonts w:ascii="Minion Pro" w:hAnsi="Minion Pro" w:cs="Times New Roman"/>
          <w:bCs/>
          <w:sz w:val="24"/>
          <w:szCs w:val="24"/>
          <w:lang w:val="en-US"/>
        </w:rPr>
        <w:t>bagian</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berikutnya</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dari</w:t>
      </w:r>
      <w:proofErr w:type="spellEnd"/>
      <w:r w:rsidRPr="000D189B">
        <w:rPr>
          <w:rFonts w:ascii="Minion Pro" w:hAnsi="Minion Pro" w:cs="Times New Roman"/>
          <w:bCs/>
          <w:sz w:val="24"/>
          <w:szCs w:val="24"/>
          <w:lang w:val="en-US"/>
        </w:rPr>
        <w:t xml:space="preserve"> tulisan </w:t>
      </w:r>
      <w:proofErr w:type="spellStart"/>
      <w:r w:rsidRPr="000D189B">
        <w:rPr>
          <w:rFonts w:ascii="Minion Pro" w:hAnsi="Minion Pro" w:cs="Times New Roman"/>
          <w:bCs/>
          <w:sz w:val="24"/>
          <w:szCs w:val="24"/>
          <w:lang w:val="en-US"/>
        </w:rPr>
        <w:t>ini</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trilogi</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metode</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i/>
          <w:iCs/>
          <w:sz w:val="24"/>
          <w:szCs w:val="24"/>
          <w:lang w:val="en-US"/>
        </w:rPr>
        <w:t>istinbāth</w:t>
      </w:r>
      <w:proofErr w:type="spellEnd"/>
      <w:r w:rsidRPr="000D189B">
        <w:rPr>
          <w:rFonts w:ascii="Minion Pro" w:hAnsi="Minion Pro" w:cs="Times New Roman"/>
          <w:bCs/>
          <w:sz w:val="24"/>
          <w:szCs w:val="24"/>
          <w:lang w:val="en-US"/>
        </w:rPr>
        <w:t xml:space="preserve"> NU </w:t>
      </w:r>
      <w:proofErr w:type="spellStart"/>
      <w:r w:rsidRPr="000D189B">
        <w:rPr>
          <w:rFonts w:ascii="Minion Pro" w:hAnsi="Minion Pro" w:cs="Times New Roman"/>
          <w:bCs/>
          <w:sz w:val="24"/>
          <w:szCs w:val="24"/>
          <w:lang w:val="en-US"/>
        </w:rPr>
        <w:t>tersebut</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merupakan</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institusionalisasi</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terhadap</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tradisi</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berpikir</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kiai-kiai</w:t>
      </w:r>
      <w:proofErr w:type="spellEnd"/>
      <w:r w:rsidRPr="000D189B">
        <w:rPr>
          <w:rFonts w:ascii="Minion Pro" w:hAnsi="Minion Pro" w:cs="Times New Roman"/>
          <w:bCs/>
          <w:sz w:val="24"/>
          <w:szCs w:val="24"/>
          <w:lang w:val="en-US"/>
        </w:rPr>
        <w:t xml:space="preserve"> NU </w:t>
      </w:r>
      <w:proofErr w:type="spellStart"/>
      <w:r w:rsidRPr="000D189B">
        <w:rPr>
          <w:rFonts w:ascii="Minion Pro" w:hAnsi="Minion Pro" w:cs="Times New Roman"/>
          <w:bCs/>
          <w:sz w:val="24"/>
          <w:szCs w:val="24"/>
          <w:lang w:val="en-US"/>
        </w:rPr>
        <w:t>sejak</w:t>
      </w:r>
      <w:proofErr w:type="spellEnd"/>
      <w:r w:rsidRPr="000D189B">
        <w:rPr>
          <w:rFonts w:ascii="Minion Pro" w:hAnsi="Minion Pro" w:cs="Times New Roman"/>
          <w:bCs/>
          <w:sz w:val="24"/>
          <w:szCs w:val="24"/>
          <w:lang w:val="en-US"/>
        </w:rPr>
        <w:t xml:space="preserve"> lama. </w:t>
      </w:r>
      <w:proofErr w:type="spellStart"/>
      <w:r w:rsidRPr="000D189B">
        <w:rPr>
          <w:rFonts w:ascii="Minion Pro" w:hAnsi="Minion Pro" w:cs="Times New Roman"/>
          <w:bCs/>
          <w:sz w:val="24"/>
          <w:szCs w:val="24"/>
          <w:lang w:val="en-US"/>
        </w:rPr>
        <w:t>Nalar</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fikih</w:t>
      </w:r>
      <w:proofErr w:type="spellEnd"/>
      <w:r w:rsidRPr="000D189B">
        <w:rPr>
          <w:rFonts w:ascii="Minion Pro" w:hAnsi="Minion Pro" w:cs="Times New Roman"/>
          <w:bCs/>
          <w:sz w:val="24"/>
          <w:szCs w:val="24"/>
          <w:lang w:val="en-US"/>
        </w:rPr>
        <w:t xml:space="preserve"> yang </w:t>
      </w:r>
      <w:proofErr w:type="spellStart"/>
      <w:r w:rsidRPr="000D189B">
        <w:rPr>
          <w:rFonts w:ascii="Minion Pro" w:hAnsi="Minion Pro" w:cs="Times New Roman"/>
          <w:bCs/>
          <w:sz w:val="24"/>
          <w:szCs w:val="24"/>
          <w:lang w:val="en-US"/>
        </w:rPr>
        <w:t>dimaksud</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berjangkar</w:t>
      </w:r>
      <w:proofErr w:type="spellEnd"/>
      <w:r w:rsidRPr="000D189B">
        <w:rPr>
          <w:rFonts w:ascii="Minion Pro" w:hAnsi="Minion Pro" w:cs="Times New Roman"/>
          <w:bCs/>
          <w:sz w:val="24"/>
          <w:szCs w:val="24"/>
          <w:lang w:val="en-US"/>
        </w:rPr>
        <w:t xml:space="preserve"> pada </w:t>
      </w:r>
      <w:proofErr w:type="spellStart"/>
      <w:r w:rsidRPr="000D189B">
        <w:rPr>
          <w:rFonts w:ascii="Minion Pro" w:hAnsi="Minion Pro" w:cs="Times New Roman"/>
          <w:bCs/>
          <w:sz w:val="24"/>
          <w:szCs w:val="24"/>
          <w:lang w:val="en-US"/>
        </w:rPr>
        <w:t>gerak</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berpikir</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dialektis</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antara</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konservasi</w:t>
      </w:r>
      <w:proofErr w:type="spellEnd"/>
      <w:r w:rsidRPr="000D189B">
        <w:rPr>
          <w:rFonts w:ascii="Minion Pro" w:hAnsi="Minion Pro" w:cs="Times New Roman"/>
          <w:bCs/>
          <w:sz w:val="24"/>
          <w:szCs w:val="24"/>
          <w:lang w:val="en-US"/>
        </w:rPr>
        <w:t xml:space="preserve"> dan </w:t>
      </w:r>
      <w:proofErr w:type="spellStart"/>
      <w:r w:rsidRPr="000D189B">
        <w:rPr>
          <w:rFonts w:ascii="Minion Pro" w:hAnsi="Minion Pro" w:cs="Times New Roman"/>
          <w:bCs/>
          <w:sz w:val="24"/>
          <w:szCs w:val="24"/>
          <w:lang w:val="en-US"/>
        </w:rPr>
        <w:t>dinamisasi</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Konservasi</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tercermin</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dari</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pe</w:t>
      </w:r>
      <w:r w:rsidRPr="000D189B">
        <w:rPr>
          <w:rFonts w:ascii="Minion Pro" w:hAnsi="Minion Pro" w:cs="Times New Roman"/>
          <w:bCs/>
          <w:sz w:val="24"/>
          <w:szCs w:val="24"/>
          <w:lang w:val="en-US"/>
        </w:rPr>
        <w:lastRenderedPageBreak/>
        <w:t>lestarian</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tradisi</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bermazhab</w:t>
      </w:r>
      <w:proofErr w:type="spellEnd"/>
      <w:r w:rsidRPr="000D189B">
        <w:rPr>
          <w:rFonts w:ascii="Minion Pro" w:hAnsi="Minion Pro" w:cs="Times New Roman"/>
          <w:bCs/>
          <w:sz w:val="24"/>
          <w:szCs w:val="24"/>
          <w:lang w:val="en-US"/>
        </w:rPr>
        <w:t xml:space="preserve"> yang </w:t>
      </w:r>
      <w:proofErr w:type="spellStart"/>
      <w:r w:rsidRPr="000D189B">
        <w:rPr>
          <w:rFonts w:ascii="Minion Pro" w:hAnsi="Minion Pro" w:cs="Times New Roman"/>
          <w:bCs/>
          <w:sz w:val="24"/>
          <w:szCs w:val="24"/>
          <w:lang w:val="en-US"/>
        </w:rPr>
        <w:t>bertali-temali</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dengan</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Aswaja</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sebagai</w:t>
      </w:r>
      <w:proofErr w:type="spellEnd"/>
      <w:r w:rsidRPr="000D189B">
        <w:rPr>
          <w:rFonts w:ascii="Minion Pro" w:hAnsi="Minion Pro" w:cs="Times New Roman"/>
          <w:bCs/>
          <w:sz w:val="24"/>
          <w:szCs w:val="24"/>
          <w:lang w:val="en-US"/>
        </w:rPr>
        <w:t xml:space="preserve"> basis </w:t>
      </w:r>
      <w:proofErr w:type="spellStart"/>
      <w:r w:rsidRPr="000D189B">
        <w:rPr>
          <w:rFonts w:ascii="Minion Pro" w:hAnsi="Minion Pro" w:cs="Times New Roman"/>
          <w:bCs/>
          <w:sz w:val="24"/>
          <w:szCs w:val="24"/>
          <w:lang w:val="en-US"/>
        </w:rPr>
        <w:t>ideologisnya</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Dinamisasi</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tercermin</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dari</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nalar</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akomodatif</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terhadap</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perubahan</w:t>
      </w:r>
      <w:proofErr w:type="spellEnd"/>
      <w:r w:rsidRPr="000D189B">
        <w:rPr>
          <w:rFonts w:ascii="Minion Pro" w:hAnsi="Minion Pro" w:cs="Times New Roman"/>
          <w:bCs/>
          <w:sz w:val="24"/>
          <w:szCs w:val="24"/>
          <w:lang w:val="en-US"/>
        </w:rPr>
        <w:t xml:space="preserve"> dan </w:t>
      </w:r>
      <w:proofErr w:type="spellStart"/>
      <w:r w:rsidRPr="000D189B">
        <w:rPr>
          <w:rFonts w:ascii="Minion Pro" w:hAnsi="Minion Pro" w:cs="Times New Roman"/>
          <w:bCs/>
          <w:sz w:val="24"/>
          <w:szCs w:val="24"/>
          <w:lang w:val="en-US"/>
        </w:rPr>
        <w:t>pembaruan</w:t>
      </w:r>
      <w:proofErr w:type="spellEnd"/>
      <w:r w:rsidRPr="000D189B">
        <w:rPr>
          <w:rFonts w:ascii="Minion Pro" w:hAnsi="Minion Pro" w:cs="Times New Roman"/>
          <w:bCs/>
          <w:sz w:val="24"/>
          <w:szCs w:val="24"/>
          <w:lang w:val="en-US"/>
        </w:rPr>
        <w:t xml:space="preserve"> yang </w:t>
      </w:r>
      <w:proofErr w:type="spellStart"/>
      <w:r w:rsidRPr="000D189B">
        <w:rPr>
          <w:rFonts w:ascii="Minion Pro" w:hAnsi="Minion Pro" w:cs="Times New Roman"/>
          <w:bCs/>
          <w:sz w:val="24"/>
          <w:szCs w:val="24"/>
          <w:lang w:val="en-US"/>
        </w:rPr>
        <w:t>berjangkar</w:t>
      </w:r>
      <w:proofErr w:type="spellEnd"/>
      <w:r w:rsidRPr="000D189B">
        <w:rPr>
          <w:rFonts w:ascii="Minion Pro" w:hAnsi="Minion Pro" w:cs="Times New Roman"/>
          <w:bCs/>
          <w:sz w:val="24"/>
          <w:szCs w:val="24"/>
          <w:lang w:val="en-US"/>
        </w:rPr>
        <w:t xml:space="preserve"> pada </w:t>
      </w:r>
      <w:proofErr w:type="spellStart"/>
      <w:r w:rsidRPr="000D189B">
        <w:rPr>
          <w:rFonts w:ascii="Minion Pro" w:hAnsi="Minion Pro" w:cs="Times New Roman"/>
          <w:bCs/>
          <w:sz w:val="24"/>
          <w:szCs w:val="24"/>
          <w:lang w:val="en-US"/>
        </w:rPr>
        <w:t>pertimbangan</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kemaslahatan</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Nalar</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seperti</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ini</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tercermin</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dalam</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bentuk</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fleksibelitas</w:t>
      </w:r>
      <w:proofErr w:type="spellEnd"/>
      <w:r w:rsidRPr="000D189B">
        <w:rPr>
          <w:rFonts w:ascii="Minion Pro" w:hAnsi="Minion Pro" w:cs="Times New Roman"/>
          <w:bCs/>
          <w:sz w:val="24"/>
          <w:szCs w:val="24"/>
          <w:lang w:val="en-US"/>
        </w:rPr>
        <w:t xml:space="preserve"> dan </w:t>
      </w:r>
      <w:proofErr w:type="spellStart"/>
      <w:r w:rsidRPr="000D189B">
        <w:rPr>
          <w:rFonts w:ascii="Minion Pro" w:hAnsi="Minion Pro" w:cs="Times New Roman"/>
          <w:bCs/>
          <w:sz w:val="24"/>
          <w:szCs w:val="24"/>
          <w:lang w:val="en-US"/>
        </w:rPr>
        <w:t>eklektisisme</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dalam</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pemilihan</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literatur</w:t>
      </w:r>
      <w:proofErr w:type="spellEnd"/>
      <w:r w:rsidRPr="000D189B">
        <w:rPr>
          <w:rFonts w:ascii="Minion Pro" w:hAnsi="Minion Pro" w:cs="Times New Roman"/>
          <w:bCs/>
          <w:sz w:val="24"/>
          <w:szCs w:val="24"/>
          <w:lang w:val="en-US"/>
        </w:rPr>
        <w:t xml:space="preserve"> dan </w:t>
      </w:r>
      <w:proofErr w:type="spellStart"/>
      <w:r w:rsidRPr="000D189B">
        <w:rPr>
          <w:rFonts w:ascii="Minion Pro" w:hAnsi="Minion Pro" w:cs="Times New Roman"/>
          <w:bCs/>
          <w:sz w:val="24"/>
          <w:szCs w:val="24"/>
          <w:lang w:val="en-US"/>
        </w:rPr>
        <w:t>pemaknaan</w:t>
      </w:r>
      <w:proofErr w:type="spellEnd"/>
      <w:r w:rsidRPr="000D189B">
        <w:rPr>
          <w:rFonts w:ascii="Minion Pro" w:hAnsi="Minion Pro" w:cs="Times New Roman"/>
          <w:bCs/>
          <w:sz w:val="24"/>
          <w:szCs w:val="24"/>
          <w:lang w:val="en-US"/>
        </w:rPr>
        <w:t xml:space="preserve"> </w:t>
      </w:r>
      <w:proofErr w:type="spellStart"/>
      <w:r w:rsidRPr="000D189B">
        <w:rPr>
          <w:rFonts w:ascii="Minion Pro" w:hAnsi="Minion Pro" w:cs="Times New Roman"/>
          <w:bCs/>
          <w:sz w:val="24"/>
          <w:szCs w:val="24"/>
          <w:lang w:val="en-US"/>
        </w:rPr>
        <w:t>teks</w:t>
      </w:r>
      <w:proofErr w:type="spellEnd"/>
      <w:r w:rsidRPr="000D189B">
        <w:rPr>
          <w:rFonts w:ascii="Minion Pro" w:hAnsi="Minion Pro" w:cs="Times New Roman"/>
          <w:bCs/>
          <w:sz w:val="24"/>
          <w:szCs w:val="24"/>
          <w:lang w:val="en-US"/>
        </w:rPr>
        <w:t xml:space="preserve"> kitab </w:t>
      </w:r>
      <w:proofErr w:type="spellStart"/>
      <w:r w:rsidRPr="000D189B">
        <w:rPr>
          <w:rFonts w:ascii="Minion Pro" w:hAnsi="Minion Pro" w:cs="Times New Roman"/>
          <w:bCs/>
          <w:sz w:val="24"/>
          <w:szCs w:val="24"/>
          <w:lang w:val="en-US"/>
        </w:rPr>
        <w:t>kuning</w:t>
      </w:r>
      <w:proofErr w:type="spellEnd"/>
      <w:r w:rsidRPr="000D189B">
        <w:rPr>
          <w:rFonts w:ascii="Minion Pro" w:hAnsi="Minion Pro" w:cs="Times New Roman"/>
          <w:bCs/>
          <w:sz w:val="24"/>
          <w:szCs w:val="24"/>
          <w:lang w:val="en-US"/>
        </w:rPr>
        <w:t>.</w:t>
      </w:r>
    </w:p>
    <w:p w14:paraId="1F875394" w14:textId="77777777" w:rsidR="00157163" w:rsidRPr="00157163" w:rsidRDefault="00157163" w:rsidP="00157163">
      <w:pPr>
        <w:tabs>
          <w:tab w:val="left" w:pos="540"/>
        </w:tabs>
        <w:spacing w:line="240" w:lineRule="auto"/>
        <w:jc w:val="both"/>
        <w:rPr>
          <w:rFonts w:ascii="Minion Pro" w:hAnsi="Minion Pro" w:cs="Times New Roman"/>
          <w:bCs/>
          <w:sz w:val="24"/>
          <w:szCs w:val="24"/>
          <w:lang w:val="en-US"/>
        </w:rPr>
      </w:pPr>
    </w:p>
    <w:p w14:paraId="7948CEF7" w14:textId="77777777" w:rsidR="000D189B" w:rsidRPr="000D189B" w:rsidRDefault="000D189B" w:rsidP="000026C2">
      <w:pPr>
        <w:pStyle w:val="ListParagraph"/>
        <w:numPr>
          <w:ilvl w:val="0"/>
          <w:numId w:val="1"/>
        </w:numPr>
        <w:spacing w:line="240" w:lineRule="auto"/>
        <w:ind w:left="426" w:hanging="426"/>
        <w:jc w:val="both"/>
        <w:rPr>
          <w:rFonts w:ascii="Minion Pro" w:hAnsi="Minion Pro" w:cs="Times New Roman"/>
          <w:b/>
          <w:bCs/>
          <w:iCs/>
          <w:sz w:val="24"/>
          <w:szCs w:val="24"/>
        </w:rPr>
      </w:pPr>
      <w:r>
        <w:rPr>
          <w:rFonts w:ascii="Minion Pro" w:hAnsi="Minion Pro" w:cs="Times New Roman"/>
          <w:b/>
          <w:bCs/>
          <w:iCs/>
          <w:sz w:val="24"/>
          <w:szCs w:val="24"/>
          <w:lang w:val="en-US"/>
        </w:rPr>
        <w:t>RELASI DINAMIS</w:t>
      </w:r>
    </w:p>
    <w:p w14:paraId="490417A4" w14:textId="3B803157" w:rsidR="00D23BA4" w:rsidRDefault="000D189B" w:rsidP="000D189B">
      <w:pPr>
        <w:spacing w:line="240" w:lineRule="auto"/>
        <w:jc w:val="both"/>
        <w:rPr>
          <w:rFonts w:ascii="Minion Pro" w:hAnsi="Minion Pro" w:cs="Times New Roman"/>
          <w:iCs/>
          <w:sz w:val="24"/>
          <w:szCs w:val="24"/>
        </w:rPr>
      </w:pPr>
      <w:proofErr w:type="spellStart"/>
      <w:r w:rsidRPr="000D189B">
        <w:rPr>
          <w:rFonts w:ascii="Minion Pro" w:hAnsi="Minion Pro" w:cs="Times New Roman"/>
          <w:iCs/>
          <w:sz w:val="24"/>
          <w:szCs w:val="24"/>
          <w:lang w:val="en-US"/>
        </w:rPr>
        <w:t>Poin</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penting</w:t>
      </w:r>
      <w:proofErr w:type="spellEnd"/>
      <w:r w:rsidRPr="000D189B">
        <w:rPr>
          <w:rFonts w:ascii="Minion Pro" w:hAnsi="Minion Pro" w:cs="Times New Roman"/>
          <w:iCs/>
          <w:sz w:val="24"/>
          <w:szCs w:val="24"/>
          <w:lang w:val="en-US"/>
        </w:rPr>
        <w:t xml:space="preserve"> yang </w:t>
      </w:r>
      <w:proofErr w:type="spellStart"/>
      <w:r w:rsidRPr="000D189B">
        <w:rPr>
          <w:rFonts w:ascii="Minion Pro" w:hAnsi="Minion Pro" w:cs="Times New Roman"/>
          <w:iCs/>
          <w:sz w:val="24"/>
          <w:szCs w:val="24"/>
          <w:lang w:val="en-US"/>
        </w:rPr>
        <w:t>ditekankan</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dalam</w:t>
      </w:r>
      <w:proofErr w:type="spellEnd"/>
      <w:r w:rsidRPr="000D189B">
        <w:rPr>
          <w:rFonts w:ascii="Minion Pro" w:hAnsi="Minion Pro" w:cs="Times New Roman"/>
          <w:iCs/>
          <w:sz w:val="24"/>
          <w:szCs w:val="24"/>
          <w:lang w:val="en-US"/>
        </w:rPr>
        <w:t xml:space="preserve"> tulisan </w:t>
      </w:r>
      <w:proofErr w:type="spellStart"/>
      <w:r w:rsidRPr="000D189B">
        <w:rPr>
          <w:rFonts w:ascii="Minion Pro" w:hAnsi="Minion Pro" w:cs="Times New Roman"/>
          <w:iCs/>
          <w:sz w:val="24"/>
          <w:szCs w:val="24"/>
          <w:lang w:val="en-US"/>
        </w:rPr>
        <w:t>ini</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adalah</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relasi</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dinamis</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dari</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trilogi</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metode</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
          <w:iCs/>
          <w:sz w:val="24"/>
          <w:szCs w:val="24"/>
          <w:lang w:val="en-US"/>
        </w:rPr>
        <w:t>istinbāth</w:t>
      </w:r>
      <w:proofErr w:type="spellEnd"/>
      <w:r w:rsidRPr="000D189B">
        <w:rPr>
          <w:rFonts w:ascii="Minion Pro" w:hAnsi="Minion Pro" w:cs="Times New Roman"/>
          <w:iCs/>
          <w:sz w:val="24"/>
          <w:szCs w:val="24"/>
          <w:lang w:val="en-US"/>
        </w:rPr>
        <w:t xml:space="preserve"> NU. </w:t>
      </w:r>
      <w:proofErr w:type="spellStart"/>
      <w:r w:rsidRPr="000D189B">
        <w:rPr>
          <w:rFonts w:ascii="Minion Pro" w:hAnsi="Minion Pro" w:cs="Times New Roman"/>
          <w:iCs/>
          <w:sz w:val="24"/>
          <w:szCs w:val="24"/>
          <w:lang w:val="en-US"/>
        </w:rPr>
        <w:t>Relasi</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tersebut</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bersifat</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dinamis</w:t>
      </w:r>
      <w:proofErr w:type="spellEnd"/>
      <w:r w:rsidRPr="000D189B">
        <w:rPr>
          <w:rFonts w:ascii="Minion Pro" w:hAnsi="Minion Pro" w:cs="Times New Roman"/>
          <w:iCs/>
          <w:sz w:val="24"/>
          <w:szCs w:val="24"/>
          <w:lang w:val="en-US"/>
        </w:rPr>
        <w:t xml:space="preserve"> dan </w:t>
      </w:r>
      <w:proofErr w:type="spellStart"/>
      <w:r w:rsidRPr="000D189B">
        <w:rPr>
          <w:rFonts w:ascii="Minion Pro" w:hAnsi="Minion Pro" w:cs="Times New Roman"/>
          <w:iCs/>
          <w:sz w:val="24"/>
          <w:szCs w:val="24"/>
          <w:lang w:val="en-US"/>
        </w:rPr>
        <w:t>kadangkala</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bertumpang-tindih</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
          <w:iCs/>
          <w:sz w:val="24"/>
          <w:szCs w:val="24"/>
          <w:lang w:val="en-US"/>
        </w:rPr>
        <w:t>tadākhul</w:t>
      </w:r>
      <w:proofErr w:type="spellEnd"/>
      <w:r w:rsidRPr="000D189B">
        <w:rPr>
          <w:rFonts w:ascii="Minion Pro" w:hAnsi="Minion Pro" w:cs="Times New Roman"/>
          <w:iCs/>
          <w:sz w:val="24"/>
          <w:szCs w:val="24"/>
          <w:lang w:val="en-US"/>
        </w:rPr>
        <w:t xml:space="preserve">, </w:t>
      </w:r>
      <w:r w:rsidRPr="000D189B">
        <w:rPr>
          <w:rFonts w:ascii="Minion Pro" w:hAnsi="Minion Pro" w:cs="Times New Roman"/>
          <w:i/>
          <w:iCs/>
          <w:sz w:val="24"/>
          <w:szCs w:val="24"/>
          <w:lang w:val="en-US"/>
        </w:rPr>
        <w:t>overlap</w:t>
      </w:r>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satu</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sama</w:t>
      </w:r>
      <w:proofErr w:type="spellEnd"/>
      <w:r w:rsidRPr="000D189B">
        <w:rPr>
          <w:rFonts w:ascii="Minion Pro" w:hAnsi="Minion Pro" w:cs="Times New Roman"/>
          <w:iCs/>
          <w:sz w:val="24"/>
          <w:szCs w:val="24"/>
          <w:lang w:val="en-US"/>
        </w:rPr>
        <w:t xml:space="preserve"> lain. </w:t>
      </w:r>
      <w:proofErr w:type="spellStart"/>
      <w:r w:rsidRPr="000D189B">
        <w:rPr>
          <w:rFonts w:ascii="Minion Pro" w:hAnsi="Minion Pro" w:cs="Times New Roman"/>
          <w:iCs/>
          <w:sz w:val="24"/>
          <w:szCs w:val="24"/>
          <w:lang w:val="en-US"/>
        </w:rPr>
        <w:t>Artinya</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penggunaan</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metode</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
          <w:iCs/>
          <w:sz w:val="24"/>
          <w:szCs w:val="24"/>
          <w:lang w:val="en-US"/>
        </w:rPr>
        <w:t>qaulī</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dalam</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satu</w:t>
      </w:r>
      <w:proofErr w:type="spellEnd"/>
      <w:r w:rsidRPr="000D189B">
        <w:rPr>
          <w:rFonts w:ascii="Minion Pro" w:hAnsi="Minion Pro" w:cs="Times New Roman"/>
          <w:iCs/>
          <w:sz w:val="24"/>
          <w:szCs w:val="24"/>
          <w:lang w:val="en-US"/>
        </w:rPr>
        <w:t xml:space="preserve"> fatwa </w:t>
      </w:r>
      <w:proofErr w:type="spellStart"/>
      <w:r w:rsidRPr="000D189B">
        <w:rPr>
          <w:rFonts w:ascii="Minion Pro" w:hAnsi="Minion Pro" w:cs="Times New Roman"/>
          <w:iCs/>
          <w:sz w:val="24"/>
          <w:szCs w:val="24"/>
          <w:lang w:val="en-US"/>
        </w:rPr>
        <w:t>tertentu</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tidak</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lantas</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berarti</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mengabaikan</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dua</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metode</w:t>
      </w:r>
      <w:proofErr w:type="spellEnd"/>
      <w:r w:rsidRPr="000D189B">
        <w:rPr>
          <w:rFonts w:ascii="Minion Pro" w:hAnsi="Minion Pro" w:cs="Times New Roman"/>
          <w:iCs/>
          <w:sz w:val="24"/>
          <w:szCs w:val="24"/>
          <w:lang w:val="en-US"/>
        </w:rPr>
        <w:t xml:space="preserve"> yang lain. Di </w:t>
      </w:r>
      <w:proofErr w:type="spellStart"/>
      <w:r w:rsidRPr="000D189B">
        <w:rPr>
          <w:rFonts w:ascii="Minion Pro" w:hAnsi="Minion Pro" w:cs="Times New Roman"/>
          <w:iCs/>
          <w:sz w:val="24"/>
          <w:szCs w:val="24"/>
          <w:lang w:val="en-US"/>
        </w:rPr>
        <w:t>sisi</w:t>
      </w:r>
      <w:proofErr w:type="spellEnd"/>
      <w:r w:rsidRPr="000D189B">
        <w:rPr>
          <w:rFonts w:ascii="Minion Pro" w:hAnsi="Minion Pro" w:cs="Times New Roman"/>
          <w:iCs/>
          <w:sz w:val="24"/>
          <w:szCs w:val="24"/>
          <w:lang w:val="en-US"/>
        </w:rPr>
        <w:t xml:space="preserve"> yang lain, </w:t>
      </w:r>
      <w:proofErr w:type="spellStart"/>
      <w:r w:rsidRPr="000D189B">
        <w:rPr>
          <w:rFonts w:ascii="Minion Pro" w:hAnsi="Minion Pro" w:cs="Times New Roman"/>
          <w:iCs/>
          <w:sz w:val="24"/>
          <w:szCs w:val="24"/>
          <w:lang w:val="en-US"/>
        </w:rPr>
        <w:t>metode</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
          <w:iCs/>
          <w:sz w:val="24"/>
          <w:szCs w:val="24"/>
          <w:lang w:val="en-US"/>
        </w:rPr>
        <w:t>il</w:t>
      </w:r>
      <w:r w:rsidRPr="000D189B">
        <w:rPr>
          <w:rFonts w:ascii="Cambria" w:hAnsi="Cambria" w:cs="Cambria"/>
          <w:i/>
          <w:iCs/>
          <w:sz w:val="24"/>
          <w:szCs w:val="24"/>
          <w:lang w:val="en-US"/>
        </w:rPr>
        <w:t>ḥ</w:t>
      </w:r>
      <w:r w:rsidRPr="000D189B">
        <w:rPr>
          <w:rFonts w:ascii="Minion Pro" w:hAnsi="Minion Pro" w:cs="Times New Roman"/>
          <w:i/>
          <w:iCs/>
          <w:sz w:val="24"/>
          <w:szCs w:val="24"/>
          <w:lang w:val="en-US"/>
        </w:rPr>
        <w:t>āqī</w:t>
      </w:r>
      <w:proofErr w:type="spellEnd"/>
      <w:r w:rsidRPr="000D189B">
        <w:rPr>
          <w:rFonts w:ascii="Minion Pro" w:hAnsi="Minion Pro" w:cs="Times New Roman"/>
          <w:iCs/>
          <w:sz w:val="24"/>
          <w:szCs w:val="24"/>
          <w:lang w:val="en-US"/>
        </w:rPr>
        <w:t xml:space="preserve"> dan </w:t>
      </w:r>
      <w:proofErr w:type="spellStart"/>
      <w:r w:rsidRPr="000D189B">
        <w:rPr>
          <w:rFonts w:ascii="Minion Pro" w:hAnsi="Minion Pro" w:cs="Times New Roman"/>
          <w:iCs/>
          <w:sz w:val="24"/>
          <w:szCs w:val="24"/>
          <w:lang w:val="en-US"/>
        </w:rPr>
        <w:t>metode</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
          <w:iCs/>
          <w:sz w:val="24"/>
          <w:szCs w:val="24"/>
          <w:lang w:val="en-US"/>
        </w:rPr>
        <w:t>manhajī</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seringkali</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tetap</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digunakan</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sekalipun</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tersembunyi</w:t>
      </w:r>
      <w:proofErr w:type="spellEnd"/>
      <w:r w:rsidRPr="000D189B">
        <w:rPr>
          <w:rFonts w:ascii="Minion Pro" w:hAnsi="Minion Pro" w:cs="Times New Roman"/>
          <w:iCs/>
          <w:sz w:val="24"/>
          <w:szCs w:val="24"/>
          <w:lang w:val="en-US"/>
        </w:rPr>
        <w:t xml:space="preserve"> di </w:t>
      </w:r>
      <w:proofErr w:type="spellStart"/>
      <w:r w:rsidRPr="000D189B">
        <w:rPr>
          <w:rFonts w:ascii="Minion Pro" w:hAnsi="Minion Pro" w:cs="Times New Roman"/>
          <w:iCs/>
          <w:sz w:val="24"/>
          <w:szCs w:val="24"/>
          <w:lang w:val="en-US"/>
        </w:rPr>
        <w:t>balik</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penggunaan</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metode</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
          <w:iCs/>
          <w:sz w:val="24"/>
          <w:szCs w:val="24"/>
          <w:lang w:val="en-US"/>
        </w:rPr>
        <w:t>qaulī</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Pernyataan</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Kiai</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Sahal</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Mahfudh</w:t>
      </w:r>
      <w:proofErr w:type="spellEnd"/>
      <w:r w:rsidRPr="000D189B">
        <w:rPr>
          <w:rFonts w:ascii="Minion Pro" w:hAnsi="Minion Pro" w:cs="Times New Roman"/>
          <w:iCs/>
          <w:sz w:val="24"/>
          <w:szCs w:val="24"/>
          <w:lang w:val="en-US"/>
        </w:rPr>
        <w:t xml:space="preserve"> (2002) </w:t>
      </w:r>
      <w:proofErr w:type="spellStart"/>
      <w:r w:rsidRPr="000D189B">
        <w:rPr>
          <w:rFonts w:ascii="Minion Pro" w:hAnsi="Minion Pro" w:cs="Times New Roman"/>
          <w:iCs/>
          <w:sz w:val="24"/>
          <w:szCs w:val="24"/>
          <w:lang w:val="en-US"/>
        </w:rPr>
        <w:t>berikut</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ini</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mengilustrasikan</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adanya</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keterkaitan</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tadi</w:t>
      </w:r>
      <w:proofErr w:type="spellEnd"/>
      <w:r w:rsidRPr="000D189B">
        <w:rPr>
          <w:rFonts w:ascii="Minion Pro" w:hAnsi="Minion Pro" w:cs="Times New Roman"/>
          <w:iCs/>
          <w:sz w:val="24"/>
          <w:szCs w:val="24"/>
          <w:lang w:val="en-US"/>
        </w:rPr>
        <w:t>:</w:t>
      </w:r>
      <w:r w:rsidR="000026C2" w:rsidRPr="000D189B">
        <w:rPr>
          <w:rFonts w:ascii="Minion Pro" w:hAnsi="Minion Pro" w:cs="Times New Roman"/>
          <w:iCs/>
          <w:sz w:val="24"/>
          <w:szCs w:val="24"/>
        </w:rPr>
        <w:t xml:space="preserve"> </w:t>
      </w:r>
    </w:p>
    <w:p w14:paraId="56BA55C5" w14:textId="77777777" w:rsidR="000D189B" w:rsidRPr="000D189B" w:rsidRDefault="000D189B" w:rsidP="000D189B">
      <w:pPr>
        <w:spacing w:line="240" w:lineRule="auto"/>
        <w:ind w:left="426" w:right="496"/>
        <w:jc w:val="both"/>
        <w:rPr>
          <w:rFonts w:ascii="Minion Pro" w:hAnsi="Minion Pro" w:cs="Times New Roman"/>
          <w:iCs/>
          <w:lang w:val="en-US"/>
        </w:rPr>
      </w:pPr>
      <w:r w:rsidRPr="000D189B">
        <w:rPr>
          <w:rFonts w:ascii="Minion Pro" w:hAnsi="Minion Pro" w:cs="Times New Roman"/>
          <w:iCs/>
        </w:rPr>
        <w:t xml:space="preserve">Sering muncul kritik bahwa forum </w:t>
      </w:r>
      <w:r w:rsidRPr="000D189B">
        <w:rPr>
          <w:rFonts w:ascii="Minion Pro" w:hAnsi="Minion Pro" w:cs="Times New Roman"/>
          <w:i/>
          <w:iCs/>
        </w:rPr>
        <w:t>bahtsul masa’il</w:t>
      </w:r>
      <w:r w:rsidRPr="000D189B">
        <w:rPr>
          <w:rFonts w:ascii="Minion Pro" w:hAnsi="Minion Pro" w:cs="Times New Roman"/>
          <w:iCs/>
        </w:rPr>
        <w:t xml:space="preserve"> NU tidak dinamis, hanya berorientasi pada </w:t>
      </w:r>
      <w:r w:rsidRPr="000D189B">
        <w:rPr>
          <w:rFonts w:ascii="Minion Pro" w:hAnsi="Minion Pro" w:cs="Times New Roman"/>
          <w:i/>
          <w:iCs/>
        </w:rPr>
        <w:t>qaul</w:t>
      </w:r>
      <w:r w:rsidRPr="000D189B">
        <w:rPr>
          <w:rFonts w:ascii="Minion Pro" w:hAnsi="Minion Pro" w:cs="Times New Roman"/>
          <w:iCs/>
        </w:rPr>
        <w:t xml:space="preserve"> (pernyataan verbal) ulama, bukan </w:t>
      </w:r>
      <w:r w:rsidRPr="000D189B">
        <w:rPr>
          <w:rFonts w:ascii="Minion Pro" w:hAnsi="Minion Pro" w:cs="Times New Roman"/>
          <w:i/>
          <w:iCs/>
        </w:rPr>
        <w:t>manhaj</w:t>
      </w:r>
      <w:r w:rsidRPr="000D189B">
        <w:rPr>
          <w:rFonts w:ascii="Minion Pro" w:hAnsi="Minion Pro" w:cs="Times New Roman"/>
          <w:iCs/>
        </w:rPr>
        <w:t xml:space="preserve"> (metodologi), dan Syafi‘iyyah sentris. Kritik tersebut sesunggunya tidak seluruhnya benar. Misalnya, dulu forum </w:t>
      </w:r>
      <w:r w:rsidRPr="000D189B">
        <w:rPr>
          <w:rFonts w:ascii="Minion Pro" w:hAnsi="Minion Pro" w:cs="Times New Roman"/>
          <w:i/>
          <w:iCs/>
        </w:rPr>
        <w:t>bahtsul masa’il</w:t>
      </w:r>
      <w:r w:rsidRPr="000D189B">
        <w:rPr>
          <w:rFonts w:ascii="Minion Pro" w:hAnsi="Minion Pro" w:cs="Times New Roman"/>
          <w:iCs/>
        </w:rPr>
        <w:t xml:space="preserve"> mengharamkan orang Islam memakai jas dan dasi karena dianggap “</w:t>
      </w:r>
      <w:r w:rsidRPr="000D189B">
        <w:rPr>
          <w:rFonts w:ascii="Minion Pro" w:hAnsi="Minion Pro" w:cs="Times New Roman"/>
          <w:i/>
          <w:iCs/>
        </w:rPr>
        <w:t>tasyabbuh</w:t>
      </w:r>
      <w:r w:rsidRPr="000D189B">
        <w:rPr>
          <w:rFonts w:ascii="Minion Pro" w:hAnsi="Minion Pro" w:cs="Times New Roman"/>
          <w:iCs/>
        </w:rPr>
        <w:t xml:space="preserve">” (menyerupai) dengan orang kafir. </w:t>
      </w:r>
      <w:proofErr w:type="spellStart"/>
      <w:r w:rsidRPr="000D189B">
        <w:rPr>
          <w:rFonts w:ascii="Minion Pro" w:hAnsi="Minion Pro" w:cs="Times New Roman"/>
          <w:iCs/>
          <w:lang w:val="en-US"/>
        </w:rPr>
        <w:t>Tetapi</w:t>
      </w:r>
      <w:proofErr w:type="spellEnd"/>
      <w:r w:rsidRPr="000D189B">
        <w:rPr>
          <w:rFonts w:ascii="Minion Pro" w:hAnsi="Minion Pro" w:cs="Times New Roman"/>
          <w:iCs/>
          <w:lang w:val="en-US"/>
        </w:rPr>
        <w:t xml:space="preserve"> K.H. Wahab </w:t>
      </w:r>
      <w:proofErr w:type="spellStart"/>
      <w:r w:rsidRPr="000D189B">
        <w:rPr>
          <w:rFonts w:ascii="Minion Pro" w:hAnsi="Minion Pro" w:cs="Times New Roman"/>
          <w:iCs/>
          <w:lang w:val="en-US"/>
        </w:rPr>
        <w:t>Khasbullah</w:t>
      </w:r>
      <w:proofErr w:type="spellEnd"/>
      <w:r w:rsidRPr="000D189B">
        <w:rPr>
          <w:rFonts w:ascii="Minion Pro" w:hAnsi="Minion Pro" w:cs="Times New Roman"/>
          <w:iCs/>
          <w:lang w:val="en-US"/>
        </w:rPr>
        <w:t xml:space="preserve"> </w:t>
      </w:r>
      <w:proofErr w:type="spellStart"/>
      <w:r w:rsidRPr="000D189B">
        <w:rPr>
          <w:rFonts w:ascii="Minion Pro" w:hAnsi="Minion Pro" w:cs="Times New Roman"/>
          <w:iCs/>
          <w:lang w:val="en-US"/>
        </w:rPr>
        <w:t>sendiri</w:t>
      </w:r>
      <w:proofErr w:type="spellEnd"/>
      <w:r w:rsidRPr="000D189B">
        <w:rPr>
          <w:rFonts w:ascii="Minion Pro" w:hAnsi="Minion Pro" w:cs="Times New Roman"/>
          <w:iCs/>
          <w:lang w:val="en-US"/>
        </w:rPr>
        <w:t xml:space="preserve"> </w:t>
      </w:r>
      <w:proofErr w:type="spellStart"/>
      <w:r w:rsidRPr="000D189B">
        <w:rPr>
          <w:rFonts w:ascii="Minion Pro" w:hAnsi="Minion Pro" w:cs="Times New Roman"/>
          <w:iCs/>
          <w:lang w:val="en-US"/>
        </w:rPr>
        <w:t>setelah</w:t>
      </w:r>
      <w:proofErr w:type="spellEnd"/>
      <w:r w:rsidRPr="000D189B">
        <w:rPr>
          <w:rFonts w:ascii="Minion Pro" w:hAnsi="Minion Pro" w:cs="Times New Roman"/>
          <w:iCs/>
          <w:lang w:val="en-US"/>
        </w:rPr>
        <w:t xml:space="preserve"> </w:t>
      </w:r>
      <w:proofErr w:type="spellStart"/>
      <w:r w:rsidRPr="000D189B">
        <w:rPr>
          <w:rFonts w:ascii="Minion Pro" w:hAnsi="Minion Pro" w:cs="Times New Roman"/>
          <w:iCs/>
          <w:lang w:val="en-US"/>
        </w:rPr>
        <w:t>merdeka</w:t>
      </w:r>
      <w:proofErr w:type="spellEnd"/>
      <w:r w:rsidRPr="000D189B">
        <w:rPr>
          <w:rFonts w:ascii="Minion Pro" w:hAnsi="Minion Pro" w:cs="Times New Roman"/>
          <w:iCs/>
          <w:lang w:val="en-US"/>
        </w:rPr>
        <w:t xml:space="preserve"> </w:t>
      </w:r>
      <w:proofErr w:type="spellStart"/>
      <w:r w:rsidRPr="000D189B">
        <w:rPr>
          <w:rFonts w:ascii="Minion Pro" w:hAnsi="Minion Pro" w:cs="Times New Roman"/>
          <w:iCs/>
          <w:lang w:val="en-US"/>
        </w:rPr>
        <w:t>selalu</w:t>
      </w:r>
      <w:proofErr w:type="spellEnd"/>
      <w:r w:rsidRPr="000D189B">
        <w:rPr>
          <w:rFonts w:ascii="Minion Pro" w:hAnsi="Minion Pro" w:cs="Times New Roman"/>
          <w:iCs/>
          <w:lang w:val="en-US"/>
        </w:rPr>
        <w:t xml:space="preserve"> </w:t>
      </w:r>
      <w:proofErr w:type="spellStart"/>
      <w:r w:rsidRPr="000D189B">
        <w:rPr>
          <w:rFonts w:ascii="Minion Pro" w:hAnsi="Minion Pro" w:cs="Times New Roman"/>
          <w:iCs/>
          <w:lang w:val="en-US"/>
        </w:rPr>
        <w:t>memakai</w:t>
      </w:r>
      <w:proofErr w:type="spellEnd"/>
      <w:r w:rsidRPr="000D189B">
        <w:rPr>
          <w:rFonts w:ascii="Minion Pro" w:hAnsi="Minion Pro" w:cs="Times New Roman"/>
          <w:iCs/>
          <w:lang w:val="en-US"/>
        </w:rPr>
        <w:t xml:space="preserve"> </w:t>
      </w:r>
      <w:proofErr w:type="spellStart"/>
      <w:r w:rsidRPr="000D189B">
        <w:rPr>
          <w:rFonts w:ascii="Minion Pro" w:hAnsi="Minion Pro" w:cs="Times New Roman"/>
          <w:iCs/>
          <w:lang w:val="en-US"/>
        </w:rPr>
        <w:t>sarung</w:t>
      </w:r>
      <w:proofErr w:type="spellEnd"/>
      <w:r w:rsidRPr="000D189B">
        <w:rPr>
          <w:rFonts w:ascii="Minion Pro" w:hAnsi="Minion Pro" w:cs="Times New Roman"/>
          <w:iCs/>
          <w:lang w:val="en-US"/>
        </w:rPr>
        <w:t xml:space="preserve"> (</w:t>
      </w:r>
      <w:proofErr w:type="spellStart"/>
      <w:r w:rsidRPr="000D189B">
        <w:rPr>
          <w:rFonts w:ascii="Minion Pro" w:hAnsi="Minion Pro" w:cs="Times New Roman"/>
          <w:iCs/>
          <w:lang w:val="en-US"/>
        </w:rPr>
        <w:t>mungkin</w:t>
      </w:r>
      <w:proofErr w:type="spellEnd"/>
      <w:r w:rsidRPr="000D189B">
        <w:rPr>
          <w:rFonts w:ascii="Minion Pro" w:hAnsi="Minion Pro" w:cs="Times New Roman"/>
          <w:iCs/>
          <w:lang w:val="en-US"/>
        </w:rPr>
        <w:t xml:space="preserve"> </w:t>
      </w:r>
      <w:proofErr w:type="spellStart"/>
      <w:r w:rsidRPr="000D189B">
        <w:rPr>
          <w:rFonts w:ascii="Minion Pro" w:hAnsi="Minion Pro" w:cs="Times New Roman"/>
          <w:iCs/>
          <w:lang w:val="en-US"/>
        </w:rPr>
        <w:t>celana</w:t>
      </w:r>
      <w:proofErr w:type="spellEnd"/>
      <w:r w:rsidRPr="000D189B">
        <w:rPr>
          <w:rFonts w:ascii="Minion Pro" w:hAnsi="Minion Pro" w:cs="Times New Roman"/>
          <w:iCs/>
          <w:lang w:val="en-US"/>
        </w:rPr>
        <w:t xml:space="preserve"> </w:t>
      </w:r>
      <w:proofErr w:type="spellStart"/>
      <w:r w:rsidRPr="000D189B">
        <w:rPr>
          <w:rFonts w:ascii="Minion Pro" w:hAnsi="Minion Pro" w:cs="Times New Roman"/>
          <w:iCs/>
          <w:lang w:val="en-US"/>
        </w:rPr>
        <w:t>maksudnya</w:t>
      </w:r>
      <w:proofErr w:type="spellEnd"/>
      <w:r w:rsidRPr="000D189B">
        <w:rPr>
          <w:rFonts w:ascii="Minion Pro" w:hAnsi="Minion Pro" w:cs="Times New Roman"/>
          <w:iCs/>
          <w:lang w:val="en-US"/>
        </w:rPr>
        <w:t xml:space="preserve">, pen.) dan </w:t>
      </w:r>
      <w:proofErr w:type="spellStart"/>
      <w:r w:rsidRPr="000D189B">
        <w:rPr>
          <w:rFonts w:ascii="Minion Pro" w:hAnsi="Minion Pro" w:cs="Times New Roman"/>
          <w:iCs/>
          <w:lang w:val="en-US"/>
        </w:rPr>
        <w:t>dasi</w:t>
      </w:r>
      <w:proofErr w:type="spellEnd"/>
      <w:r w:rsidRPr="000D189B">
        <w:rPr>
          <w:rFonts w:ascii="Minion Pro" w:hAnsi="Minion Pro" w:cs="Times New Roman"/>
          <w:iCs/>
          <w:lang w:val="en-US"/>
        </w:rPr>
        <w:t xml:space="preserve">. </w:t>
      </w:r>
      <w:proofErr w:type="spellStart"/>
      <w:r w:rsidRPr="000D189B">
        <w:rPr>
          <w:rFonts w:ascii="Minion Pro" w:hAnsi="Minion Pro" w:cs="Times New Roman"/>
          <w:iCs/>
          <w:lang w:val="en-US"/>
        </w:rPr>
        <w:t>Ini</w:t>
      </w:r>
      <w:proofErr w:type="spellEnd"/>
      <w:r w:rsidRPr="000D189B">
        <w:rPr>
          <w:rFonts w:ascii="Minion Pro" w:hAnsi="Minion Pro" w:cs="Times New Roman"/>
          <w:iCs/>
          <w:lang w:val="en-US"/>
        </w:rPr>
        <w:t xml:space="preserve"> </w:t>
      </w:r>
      <w:proofErr w:type="spellStart"/>
      <w:r w:rsidRPr="000D189B">
        <w:rPr>
          <w:rFonts w:ascii="Minion Pro" w:hAnsi="Minion Pro" w:cs="Times New Roman"/>
          <w:iCs/>
          <w:lang w:val="en-US"/>
        </w:rPr>
        <w:t>tidak</w:t>
      </w:r>
      <w:proofErr w:type="spellEnd"/>
      <w:r w:rsidRPr="000D189B">
        <w:rPr>
          <w:rFonts w:ascii="Minion Pro" w:hAnsi="Minion Pro" w:cs="Times New Roman"/>
          <w:iCs/>
          <w:lang w:val="en-US"/>
        </w:rPr>
        <w:t xml:space="preserve"> </w:t>
      </w:r>
      <w:proofErr w:type="spellStart"/>
      <w:r w:rsidRPr="000D189B">
        <w:rPr>
          <w:rFonts w:ascii="Minion Pro" w:hAnsi="Minion Pro" w:cs="Times New Roman"/>
          <w:iCs/>
          <w:lang w:val="en-US"/>
        </w:rPr>
        <w:t>ada</w:t>
      </w:r>
      <w:proofErr w:type="spellEnd"/>
      <w:r w:rsidRPr="000D189B">
        <w:rPr>
          <w:rFonts w:ascii="Minion Pro" w:hAnsi="Minion Pro" w:cs="Times New Roman"/>
          <w:iCs/>
          <w:lang w:val="en-US"/>
        </w:rPr>
        <w:t xml:space="preserve"> </w:t>
      </w:r>
      <w:proofErr w:type="spellStart"/>
      <w:r w:rsidRPr="000D189B">
        <w:rPr>
          <w:rFonts w:ascii="Minion Pro" w:hAnsi="Minion Pro" w:cs="Times New Roman"/>
          <w:iCs/>
          <w:lang w:val="en-US"/>
        </w:rPr>
        <w:t>dalilnya</w:t>
      </w:r>
      <w:proofErr w:type="spellEnd"/>
      <w:r w:rsidRPr="000D189B">
        <w:rPr>
          <w:rFonts w:ascii="Minion Pro" w:hAnsi="Minion Pro" w:cs="Times New Roman"/>
          <w:iCs/>
          <w:lang w:val="en-US"/>
        </w:rPr>
        <w:t xml:space="preserve"> (</w:t>
      </w:r>
      <w:proofErr w:type="spellStart"/>
      <w:r w:rsidRPr="000D189B">
        <w:rPr>
          <w:rFonts w:ascii="Minion Pro" w:hAnsi="Minion Pro" w:cs="Times New Roman"/>
          <w:i/>
          <w:iCs/>
          <w:lang w:val="en-US"/>
        </w:rPr>
        <w:t>qaul-</w:t>
      </w:r>
      <w:r w:rsidRPr="000D189B">
        <w:rPr>
          <w:rFonts w:ascii="Minion Pro" w:hAnsi="Minion Pro" w:cs="Times New Roman"/>
          <w:iCs/>
          <w:lang w:val="en-US"/>
        </w:rPr>
        <w:t>nya</w:t>
      </w:r>
      <w:proofErr w:type="spellEnd"/>
      <w:r w:rsidRPr="000D189B">
        <w:rPr>
          <w:rFonts w:ascii="Minion Pro" w:hAnsi="Minion Pro" w:cs="Times New Roman"/>
          <w:iCs/>
          <w:lang w:val="en-US"/>
        </w:rPr>
        <w:t xml:space="preserve">). </w:t>
      </w:r>
      <w:proofErr w:type="spellStart"/>
      <w:r w:rsidRPr="000D189B">
        <w:rPr>
          <w:rFonts w:ascii="Minion Pro" w:hAnsi="Minion Pro" w:cs="Times New Roman"/>
          <w:iCs/>
          <w:lang w:val="en-US"/>
        </w:rPr>
        <w:t>Itu</w:t>
      </w:r>
      <w:proofErr w:type="spellEnd"/>
      <w:r w:rsidRPr="000D189B">
        <w:rPr>
          <w:rFonts w:ascii="Minion Pro" w:hAnsi="Minion Pro" w:cs="Times New Roman"/>
          <w:iCs/>
          <w:lang w:val="en-US"/>
        </w:rPr>
        <w:t xml:space="preserve"> </w:t>
      </w:r>
      <w:proofErr w:type="spellStart"/>
      <w:r w:rsidRPr="000D189B">
        <w:rPr>
          <w:rFonts w:ascii="Minion Pro" w:hAnsi="Minion Pro" w:cs="Times New Roman"/>
          <w:iCs/>
          <w:lang w:val="en-US"/>
        </w:rPr>
        <w:t>berdasarkan</w:t>
      </w:r>
      <w:proofErr w:type="spellEnd"/>
      <w:r w:rsidRPr="000D189B">
        <w:rPr>
          <w:rFonts w:ascii="Minion Pro" w:hAnsi="Minion Pro" w:cs="Times New Roman"/>
          <w:iCs/>
          <w:lang w:val="en-US"/>
        </w:rPr>
        <w:t xml:space="preserve"> </w:t>
      </w:r>
      <w:proofErr w:type="spellStart"/>
      <w:r w:rsidRPr="000D189B">
        <w:rPr>
          <w:rFonts w:ascii="Minion Pro" w:hAnsi="Minion Pro" w:cs="Times New Roman"/>
          <w:i/>
          <w:iCs/>
          <w:lang w:val="en-US"/>
        </w:rPr>
        <w:t>manhaj</w:t>
      </w:r>
      <w:proofErr w:type="spellEnd"/>
      <w:r w:rsidRPr="000D189B">
        <w:rPr>
          <w:rFonts w:ascii="Minion Pro" w:hAnsi="Minion Pro" w:cs="Times New Roman"/>
          <w:iCs/>
          <w:lang w:val="en-US"/>
        </w:rPr>
        <w:t xml:space="preserve">. </w:t>
      </w:r>
      <w:proofErr w:type="spellStart"/>
      <w:r w:rsidRPr="000D189B">
        <w:rPr>
          <w:rFonts w:ascii="Minion Pro" w:hAnsi="Minion Pro" w:cs="Times New Roman"/>
          <w:iCs/>
          <w:lang w:val="en-US"/>
        </w:rPr>
        <w:t>Tidak</w:t>
      </w:r>
      <w:proofErr w:type="spellEnd"/>
      <w:r w:rsidRPr="000D189B">
        <w:rPr>
          <w:rFonts w:ascii="Minion Pro" w:hAnsi="Minion Pro" w:cs="Times New Roman"/>
          <w:iCs/>
          <w:lang w:val="en-US"/>
        </w:rPr>
        <w:t xml:space="preserve"> </w:t>
      </w:r>
      <w:proofErr w:type="spellStart"/>
      <w:r w:rsidRPr="000D189B">
        <w:rPr>
          <w:rFonts w:ascii="Minion Pro" w:hAnsi="Minion Pro" w:cs="Times New Roman"/>
          <w:iCs/>
          <w:lang w:val="en-US"/>
        </w:rPr>
        <w:t>ada</w:t>
      </w:r>
      <w:proofErr w:type="spellEnd"/>
      <w:r w:rsidRPr="000D189B">
        <w:rPr>
          <w:rFonts w:ascii="Minion Pro" w:hAnsi="Minion Pro" w:cs="Times New Roman"/>
          <w:iCs/>
          <w:lang w:val="en-US"/>
        </w:rPr>
        <w:t xml:space="preserve"> kitab-kitab </w:t>
      </w:r>
      <w:proofErr w:type="spellStart"/>
      <w:r w:rsidRPr="000D189B">
        <w:rPr>
          <w:rFonts w:ascii="Minion Pro" w:hAnsi="Minion Pro" w:cs="Times New Roman"/>
          <w:iCs/>
          <w:lang w:val="en-US"/>
        </w:rPr>
        <w:t>fiqih</w:t>
      </w:r>
      <w:proofErr w:type="spellEnd"/>
      <w:r w:rsidRPr="000D189B">
        <w:rPr>
          <w:rFonts w:ascii="Minion Pro" w:hAnsi="Minion Pro" w:cs="Times New Roman"/>
          <w:iCs/>
          <w:lang w:val="en-US"/>
        </w:rPr>
        <w:t xml:space="preserve"> yang </w:t>
      </w:r>
      <w:proofErr w:type="spellStart"/>
      <w:r w:rsidRPr="000D189B">
        <w:rPr>
          <w:rFonts w:ascii="Minion Pro" w:hAnsi="Minion Pro" w:cs="Times New Roman"/>
          <w:iCs/>
          <w:lang w:val="en-US"/>
        </w:rPr>
        <w:t>secara</w:t>
      </w:r>
      <w:proofErr w:type="spellEnd"/>
      <w:r w:rsidRPr="000D189B">
        <w:rPr>
          <w:rFonts w:ascii="Minion Pro" w:hAnsi="Minion Pro" w:cs="Times New Roman"/>
          <w:iCs/>
          <w:lang w:val="en-US"/>
        </w:rPr>
        <w:t xml:space="preserve"> </w:t>
      </w:r>
      <w:proofErr w:type="spellStart"/>
      <w:r w:rsidRPr="000D189B">
        <w:rPr>
          <w:rFonts w:ascii="Minion Pro" w:hAnsi="Minion Pro" w:cs="Times New Roman"/>
          <w:iCs/>
          <w:lang w:val="en-US"/>
        </w:rPr>
        <w:t>tekstual</w:t>
      </w:r>
      <w:proofErr w:type="spellEnd"/>
      <w:r w:rsidRPr="000D189B">
        <w:rPr>
          <w:rFonts w:ascii="Minion Pro" w:hAnsi="Minion Pro" w:cs="Times New Roman"/>
          <w:iCs/>
          <w:lang w:val="en-US"/>
        </w:rPr>
        <w:t xml:space="preserve"> </w:t>
      </w:r>
      <w:proofErr w:type="spellStart"/>
      <w:r w:rsidRPr="000D189B">
        <w:rPr>
          <w:rFonts w:ascii="Minion Pro" w:hAnsi="Minion Pro" w:cs="Times New Roman"/>
          <w:iCs/>
          <w:lang w:val="en-US"/>
        </w:rPr>
        <w:t>menulis</w:t>
      </w:r>
      <w:proofErr w:type="spellEnd"/>
      <w:r w:rsidRPr="000D189B">
        <w:rPr>
          <w:rFonts w:ascii="Minion Pro" w:hAnsi="Minion Pro" w:cs="Times New Roman"/>
          <w:iCs/>
          <w:lang w:val="en-US"/>
        </w:rPr>
        <w:t xml:space="preserve"> “</w:t>
      </w:r>
      <w:proofErr w:type="spellStart"/>
      <w:r w:rsidRPr="000D189B">
        <w:rPr>
          <w:rFonts w:ascii="Minion Pro" w:hAnsi="Minion Pro" w:cs="Times New Roman"/>
          <w:i/>
          <w:iCs/>
          <w:lang w:val="en-US"/>
        </w:rPr>
        <w:t>haruma</w:t>
      </w:r>
      <w:proofErr w:type="spellEnd"/>
      <w:r w:rsidRPr="000D189B">
        <w:rPr>
          <w:rFonts w:ascii="Minion Pro" w:hAnsi="Minion Pro" w:cs="Times New Roman"/>
          <w:i/>
          <w:iCs/>
          <w:lang w:val="en-US"/>
        </w:rPr>
        <w:t xml:space="preserve"> al-</w:t>
      </w:r>
      <w:proofErr w:type="spellStart"/>
      <w:r w:rsidRPr="000D189B">
        <w:rPr>
          <w:rFonts w:ascii="Minion Pro" w:hAnsi="Minion Pro" w:cs="Times New Roman"/>
          <w:i/>
          <w:iCs/>
          <w:lang w:val="en-US"/>
        </w:rPr>
        <w:t>dasi</w:t>
      </w:r>
      <w:proofErr w:type="spellEnd"/>
      <w:r w:rsidRPr="000D189B">
        <w:rPr>
          <w:rFonts w:ascii="Minion Pro" w:hAnsi="Minion Pro" w:cs="Times New Roman"/>
          <w:i/>
          <w:iCs/>
          <w:lang w:val="en-US"/>
        </w:rPr>
        <w:t xml:space="preserve"> </w:t>
      </w:r>
      <w:proofErr w:type="spellStart"/>
      <w:r w:rsidRPr="000D189B">
        <w:rPr>
          <w:rFonts w:ascii="Minion Pro" w:hAnsi="Minion Pro" w:cs="Times New Roman"/>
          <w:i/>
          <w:iCs/>
          <w:lang w:val="en-US"/>
        </w:rPr>
        <w:t>wal</w:t>
      </w:r>
      <w:proofErr w:type="spellEnd"/>
      <w:r w:rsidRPr="000D189B">
        <w:rPr>
          <w:rFonts w:ascii="Minion Pro" w:hAnsi="Minion Pro" w:cs="Times New Roman"/>
          <w:i/>
          <w:iCs/>
          <w:lang w:val="en-US"/>
        </w:rPr>
        <w:t xml:space="preserve"> </w:t>
      </w:r>
      <w:proofErr w:type="spellStart"/>
      <w:r w:rsidRPr="000D189B">
        <w:rPr>
          <w:rFonts w:ascii="Minion Pro" w:hAnsi="Minion Pro" w:cs="Times New Roman"/>
          <w:i/>
          <w:iCs/>
          <w:lang w:val="en-US"/>
        </w:rPr>
        <w:t>jas</w:t>
      </w:r>
      <w:proofErr w:type="spellEnd"/>
      <w:r w:rsidRPr="000D189B">
        <w:rPr>
          <w:rFonts w:ascii="Minion Pro" w:hAnsi="Minion Pro" w:cs="Times New Roman"/>
          <w:i/>
          <w:iCs/>
          <w:lang w:val="en-US"/>
        </w:rPr>
        <w:t xml:space="preserve"> </w:t>
      </w:r>
      <w:proofErr w:type="spellStart"/>
      <w:r w:rsidRPr="000D189B">
        <w:rPr>
          <w:rFonts w:ascii="Minion Pro" w:hAnsi="Minion Pro" w:cs="Times New Roman"/>
          <w:i/>
          <w:iCs/>
          <w:lang w:val="en-US"/>
        </w:rPr>
        <w:t>li’annahu</w:t>
      </w:r>
      <w:proofErr w:type="spellEnd"/>
      <w:r w:rsidRPr="000D189B">
        <w:rPr>
          <w:rFonts w:ascii="Minion Pro" w:hAnsi="Minion Pro" w:cs="Times New Roman"/>
          <w:iCs/>
          <w:lang w:val="en-US"/>
        </w:rPr>
        <w:t>…” (</w:t>
      </w:r>
      <w:proofErr w:type="spellStart"/>
      <w:r w:rsidRPr="000D189B">
        <w:rPr>
          <w:rFonts w:ascii="Minion Pro" w:hAnsi="Minion Pro" w:cs="Times New Roman"/>
          <w:iCs/>
          <w:lang w:val="en-US"/>
        </w:rPr>
        <w:t>diharamkan</w:t>
      </w:r>
      <w:proofErr w:type="spellEnd"/>
      <w:r w:rsidRPr="000D189B">
        <w:rPr>
          <w:rFonts w:ascii="Minion Pro" w:hAnsi="Minion Pro" w:cs="Times New Roman"/>
          <w:iCs/>
          <w:lang w:val="en-US"/>
        </w:rPr>
        <w:t xml:space="preserve"> </w:t>
      </w:r>
      <w:proofErr w:type="spellStart"/>
      <w:r w:rsidRPr="000D189B">
        <w:rPr>
          <w:rFonts w:ascii="Minion Pro" w:hAnsi="Minion Pro" w:cs="Times New Roman"/>
          <w:iCs/>
          <w:lang w:val="en-US"/>
        </w:rPr>
        <w:t>dasi</w:t>
      </w:r>
      <w:proofErr w:type="spellEnd"/>
      <w:r w:rsidRPr="000D189B">
        <w:rPr>
          <w:rFonts w:ascii="Minion Pro" w:hAnsi="Minion Pro" w:cs="Times New Roman"/>
          <w:iCs/>
          <w:lang w:val="en-US"/>
        </w:rPr>
        <w:t xml:space="preserve"> dan </w:t>
      </w:r>
      <w:proofErr w:type="spellStart"/>
      <w:r w:rsidRPr="000D189B">
        <w:rPr>
          <w:rFonts w:ascii="Minion Pro" w:hAnsi="Minion Pro" w:cs="Times New Roman"/>
          <w:iCs/>
          <w:lang w:val="en-US"/>
        </w:rPr>
        <w:t>jas</w:t>
      </w:r>
      <w:proofErr w:type="spellEnd"/>
      <w:r w:rsidRPr="000D189B">
        <w:rPr>
          <w:rFonts w:ascii="Minion Pro" w:hAnsi="Minion Pro" w:cs="Times New Roman"/>
          <w:iCs/>
          <w:lang w:val="en-US"/>
        </w:rPr>
        <w:t xml:space="preserve"> </w:t>
      </w:r>
      <w:proofErr w:type="spellStart"/>
      <w:r w:rsidRPr="000D189B">
        <w:rPr>
          <w:rFonts w:ascii="Minion Pro" w:hAnsi="Minion Pro" w:cs="Times New Roman"/>
          <w:iCs/>
          <w:lang w:val="en-US"/>
        </w:rPr>
        <w:t>karena</w:t>
      </w:r>
      <w:proofErr w:type="spellEnd"/>
      <w:r w:rsidRPr="000D189B">
        <w:rPr>
          <w:rFonts w:ascii="Minion Pro" w:hAnsi="Minion Pro" w:cs="Times New Roman"/>
          <w:iCs/>
          <w:lang w:val="en-US"/>
        </w:rPr>
        <w:t xml:space="preserve">…). </w:t>
      </w:r>
      <w:proofErr w:type="spellStart"/>
      <w:r w:rsidRPr="000D189B">
        <w:rPr>
          <w:rFonts w:ascii="Minion Pro" w:hAnsi="Minion Pro" w:cs="Times New Roman"/>
          <w:iCs/>
          <w:lang w:val="en-US"/>
        </w:rPr>
        <w:t>Contoh</w:t>
      </w:r>
      <w:proofErr w:type="spellEnd"/>
      <w:r w:rsidRPr="000D189B">
        <w:rPr>
          <w:rFonts w:ascii="Minion Pro" w:hAnsi="Minion Pro" w:cs="Times New Roman"/>
          <w:iCs/>
          <w:lang w:val="en-US"/>
        </w:rPr>
        <w:t xml:space="preserve"> lain </w:t>
      </w:r>
      <w:proofErr w:type="spellStart"/>
      <w:r w:rsidRPr="000D189B">
        <w:rPr>
          <w:rFonts w:ascii="Minion Pro" w:hAnsi="Minion Pro" w:cs="Times New Roman"/>
          <w:iCs/>
          <w:lang w:val="en-US"/>
        </w:rPr>
        <w:t>misalnya</w:t>
      </w:r>
      <w:proofErr w:type="spellEnd"/>
      <w:r w:rsidRPr="000D189B">
        <w:rPr>
          <w:rFonts w:ascii="Minion Pro" w:hAnsi="Minion Pro" w:cs="Times New Roman"/>
          <w:iCs/>
          <w:lang w:val="en-US"/>
        </w:rPr>
        <w:t xml:space="preserve">, para </w:t>
      </w:r>
      <w:proofErr w:type="spellStart"/>
      <w:r w:rsidRPr="000D189B">
        <w:rPr>
          <w:rFonts w:ascii="Minion Pro" w:hAnsi="Minion Pro" w:cs="Times New Roman"/>
          <w:iCs/>
          <w:lang w:val="en-US"/>
        </w:rPr>
        <w:t>kiai</w:t>
      </w:r>
      <w:proofErr w:type="spellEnd"/>
      <w:r w:rsidRPr="000D189B">
        <w:rPr>
          <w:rFonts w:ascii="Minion Pro" w:hAnsi="Minion Pro" w:cs="Times New Roman"/>
          <w:iCs/>
          <w:lang w:val="en-US"/>
        </w:rPr>
        <w:t xml:space="preserve"> NU </w:t>
      </w:r>
      <w:proofErr w:type="spellStart"/>
      <w:r w:rsidRPr="000D189B">
        <w:rPr>
          <w:rFonts w:ascii="Minion Pro" w:hAnsi="Minion Pro" w:cs="Times New Roman"/>
          <w:iCs/>
          <w:lang w:val="en-US"/>
        </w:rPr>
        <w:t>dalam</w:t>
      </w:r>
      <w:proofErr w:type="spellEnd"/>
      <w:r w:rsidRPr="000D189B">
        <w:rPr>
          <w:rFonts w:ascii="Minion Pro" w:hAnsi="Minion Pro" w:cs="Times New Roman"/>
          <w:iCs/>
          <w:lang w:val="en-US"/>
        </w:rPr>
        <w:t xml:space="preserve"> </w:t>
      </w:r>
      <w:proofErr w:type="spellStart"/>
      <w:r w:rsidRPr="000D189B">
        <w:rPr>
          <w:rFonts w:ascii="Minion Pro" w:hAnsi="Minion Pro" w:cs="Times New Roman"/>
          <w:iCs/>
          <w:lang w:val="en-US"/>
        </w:rPr>
        <w:t>memberikan</w:t>
      </w:r>
      <w:proofErr w:type="spellEnd"/>
      <w:r w:rsidRPr="000D189B">
        <w:rPr>
          <w:rFonts w:ascii="Minion Pro" w:hAnsi="Minion Pro" w:cs="Times New Roman"/>
          <w:iCs/>
          <w:lang w:val="en-US"/>
        </w:rPr>
        <w:t xml:space="preserve"> fatwa </w:t>
      </w:r>
      <w:proofErr w:type="spellStart"/>
      <w:r w:rsidRPr="000D189B">
        <w:rPr>
          <w:rFonts w:ascii="Minion Pro" w:hAnsi="Minion Pro" w:cs="Times New Roman"/>
          <w:iCs/>
          <w:lang w:val="en-US"/>
        </w:rPr>
        <w:t>hukum</w:t>
      </w:r>
      <w:proofErr w:type="spellEnd"/>
      <w:r w:rsidRPr="000D189B">
        <w:rPr>
          <w:rFonts w:ascii="Minion Pro" w:hAnsi="Minion Pro" w:cs="Times New Roman"/>
          <w:iCs/>
          <w:lang w:val="en-US"/>
        </w:rPr>
        <w:t xml:space="preserve"> </w:t>
      </w:r>
      <w:proofErr w:type="spellStart"/>
      <w:r w:rsidRPr="000D189B">
        <w:rPr>
          <w:rFonts w:ascii="Minion Pro" w:hAnsi="Minion Pro" w:cs="Times New Roman"/>
          <w:iCs/>
          <w:lang w:val="en-US"/>
        </w:rPr>
        <w:t>sering</w:t>
      </w:r>
      <w:proofErr w:type="spellEnd"/>
      <w:r w:rsidRPr="000D189B">
        <w:rPr>
          <w:rFonts w:ascii="Minion Pro" w:hAnsi="Minion Pro" w:cs="Times New Roman"/>
          <w:iCs/>
          <w:lang w:val="en-US"/>
        </w:rPr>
        <w:t xml:space="preserve"> </w:t>
      </w:r>
      <w:proofErr w:type="spellStart"/>
      <w:r w:rsidRPr="000D189B">
        <w:rPr>
          <w:rFonts w:ascii="Minion Pro" w:hAnsi="Minion Pro" w:cs="Times New Roman"/>
          <w:iCs/>
          <w:lang w:val="en-US"/>
        </w:rPr>
        <w:t>memakai</w:t>
      </w:r>
      <w:proofErr w:type="spellEnd"/>
      <w:r w:rsidRPr="000D189B">
        <w:rPr>
          <w:rFonts w:ascii="Minion Pro" w:hAnsi="Minion Pro" w:cs="Times New Roman"/>
          <w:iCs/>
          <w:lang w:val="en-US"/>
        </w:rPr>
        <w:t xml:space="preserve"> </w:t>
      </w:r>
      <w:proofErr w:type="spellStart"/>
      <w:r w:rsidRPr="000D189B">
        <w:rPr>
          <w:rFonts w:ascii="Minion Pro" w:hAnsi="Minion Pro" w:cs="Times New Roman"/>
          <w:iCs/>
          <w:lang w:val="en-US"/>
        </w:rPr>
        <w:t>kaidah-kaidah</w:t>
      </w:r>
      <w:proofErr w:type="spellEnd"/>
      <w:r w:rsidRPr="000D189B">
        <w:rPr>
          <w:rFonts w:ascii="Minion Pro" w:hAnsi="Minion Pro" w:cs="Times New Roman"/>
          <w:iCs/>
          <w:lang w:val="en-US"/>
        </w:rPr>
        <w:t xml:space="preserve"> </w:t>
      </w:r>
      <w:proofErr w:type="spellStart"/>
      <w:r w:rsidRPr="000D189B">
        <w:rPr>
          <w:rFonts w:ascii="Minion Pro" w:hAnsi="Minion Pro" w:cs="Times New Roman"/>
          <w:iCs/>
          <w:lang w:val="en-US"/>
        </w:rPr>
        <w:t>fiqih</w:t>
      </w:r>
      <w:proofErr w:type="spellEnd"/>
      <w:r w:rsidRPr="000D189B">
        <w:rPr>
          <w:rFonts w:ascii="Minion Pro" w:hAnsi="Minion Pro" w:cs="Times New Roman"/>
          <w:iCs/>
          <w:lang w:val="en-US"/>
        </w:rPr>
        <w:t xml:space="preserve"> </w:t>
      </w:r>
      <w:proofErr w:type="spellStart"/>
      <w:r w:rsidRPr="000D189B">
        <w:rPr>
          <w:rFonts w:ascii="Minion Pro" w:hAnsi="Minion Pro" w:cs="Times New Roman"/>
          <w:iCs/>
          <w:lang w:val="en-US"/>
        </w:rPr>
        <w:t>atau</w:t>
      </w:r>
      <w:proofErr w:type="spellEnd"/>
      <w:r w:rsidRPr="000D189B">
        <w:rPr>
          <w:rFonts w:ascii="Minion Pro" w:hAnsi="Minion Pro" w:cs="Times New Roman"/>
          <w:iCs/>
          <w:lang w:val="en-US"/>
        </w:rPr>
        <w:t xml:space="preserve"> </w:t>
      </w:r>
      <w:proofErr w:type="spellStart"/>
      <w:r w:rsidRPr="000D189B">
        <w:rPr>
          <w:rFonts w:ascii="Minion Pro" w:hAnsi="Minion Pro" w:cs="Times New Roman"/>
          <w:iCs/>
          <w:lang w:val="en-US"/>
        </w:rPr>
        <w:t>ushul</w:t>
      </w:r>
      <w:proofErr w:type="spellEnd"/>
      <w:r w:rsidRPr="000D189B">
        <w:rPr>
          <w:rFonts w:ascii="Minion Pro" w:hAnsi="Minion Pro" w:cs="Times New Roman"/>
          <w:iCs/>
          <w:lang w:val="en-US"/>
        </w:rPr>
        <w:t xml:space="preserve"> </w:t>
      </w:r>
      <w:proofErr w:type="spellStart"/>
      <w:r w:rsidRPr="000D189B">
        <w:rPr>
          <w:rFonts w:ascii="Minion Pro" w:hAnsi="Minion Pro" w:cs="Times New Roman"/>
          <w:iCs/>
          <w:lang w:val="en-US"/>
        </w:rPr>
        <w:t>fiqih</w:t>
      </w:r>
      <w:proofErr w:type="spellEnd"/>
      <w:r w:rsidRPr="000D189B">
        <w:rPr>
          <w:rFonts w:ascii="Minion Pro" w:hAnsi="Minion Pro" w:cs="Times New Roman"/>
          <w:iCs/>
          <w:lang w:val="en-US"/>
        </w:rPr>
        <w:t xml:space="preserve">. </w:t>
      </w:r>
      <w:proofErr w:type="spellStart"/>
      <w:r w:rsidRPr="000D189B">
        <w:rPr>
          <w:rFonts w:ascii="Minion Pro" w:hAnsi="Minion Pro" w:cs="Times New Roman"/>
          <w:iCs/>
          <w:lang w:val="en-US"/>
        </w:rPr>
        <w:t>Hanya</w:t>
      </w:r>
      <w:proofErr w:type="spellEnd"/>
      <w:r w:rsidRPr="000D189B">
        <w:rPr>
          <w:rFonts w:ascii="Minion Pro" w:hAnsi="Minion Pro" w:cs="Times New Roman"/>
          <w:iCs/>
          <w:lang w:val="en-US"/>
        </w:rPr>
        <w:t xml:space="preserve"> </w:t>
      </w:r>
      <w:proofErr w:type="spellStart"/>
      <w:r w:rsidRPr="000D189B">
        <w:rPr>
          <w:rFonts w:ascii="Minion Pro" w:hAnsi="Minion Pro" w:cs="Times New Roman"/>
          <w:iCs/>
          <w:lang w:val="en-US"/>
        </w:rPr>
        <w:t>saja</w:t>
      </w:r>
      <w:proofErr w:type="spellEnd"/>
      <w:r w:rsidRPr="000D189B">
        <w:rPr>
          <w:rFonts w:ascii="Minion Pro" w:hAnsi="Minion Pro" w:cs="Times New Roman"/>
          <w:iCs/>
          <w:lang w:val="en-US"/>
        </w:rPr>
        <w:t xml:space="preserve">, para </w:t>
      </w:r>
      <w:proofErr w:type="spellStart"/>
      <w:r w:rsidRPr="000D189B">
        <w:rPr>
          <w:rFonts w:ascii="Minion Pro" w:hAnsi="Minion Pro" w:cs="Times New Roman"/>
          <w:iCs/>
          <w:lang w:val="en-US"/>
        </w:rPr>
        <w:t>kiai</w:t>
      </w:r>
      <w:proofErr w:type="spellEnd"/>
      <w:r w:rsidRPr="000D189B">
        <w:rPr>
          <w:rFonts w:ascii="Minion Pro" w:hAnsi="Minion Pro" w:cs="Times New Roman"/>
          <w:iCs/>
          <w:lang w:val="en-US"/>
        </w:rPr>
        <w:t xml:space="preserve"> NU </w:t>
      </w:r>
      <w:proofErr w:type="spellStart"/>
      <w:r w:rsidRPr="000D189B">
        <w:rPr>
          <w:rFonts w:ascii="Minion Pro" w:hAnsi="Minion Pro" w:cs="Times New Roman"/>
          <w:iCs/>
          <w:lang w:val="en-US"/>
        </w:rPr>
        <w:t>meskipun</w:t>
      </w:r>
      <w:proofErr w:type="spellEnd"/>
      <w:r w:rsidRPr="000D189B">
        <w:rPr>
          <w:rFonts w:ascii="Minion Pro" w:hAnsi="Minion Pro" w:cs="Times New Roman"/>
          <w:iCs/>
          <w:lang w:val="en-US"/>
        </w:rPr>
        <w:t xml:space="preserve"> </w:t>
      </w:r>
      <w:proofErr w:type="spellStart"/>
      <w:r w:rsidRPr="000D189B">
        <w:rPr>
          <w:rFonts w:ascii="Minion Pro" w:hAnsi="Minion Pro" w:cs="Times New Roman"/>
          <w:iCs/>
          <w:lang w:val="en-US"/>
        </w:rPr>
        <w:t>sudah</w:t>
      </w:r>
      <w:proofErr w:type="spellEnd"/>
      <w:r w:rsidRPr="000D189B">
        <w:rPr>
          <w:rFonts w:ascii="Minion Pro" w:hAnsi="Minion Pro" w:cs="Times New Roman"/>
          <w:iCs/>
          <w:lang w:val="en-US"/>
        </w:rPr>
        <w:t xml:space="preserve"> </w:t>
      </w:r>
      <w:proofErr w:type="spellStart"/>
      <w:r w:rsidRPr="000D189B">
        <w:rPr>
          <w:rFonts w:ascii="Minion Pro" w:hAnsi="Minion Pro" w:cs="Times New Roman"/>
          <w:iCs/>
          <w:lang w:val="en-US"/>
        </w:rPr>
        <w:t>memberi</w:t>
      </w:r>
      <w:proofErr w:type="spellEnd"/>
      <w:r w:rsidRPr="000D189B">
        <w:rPr>
          <w:rFonts w:ascii="Minion Pro" w:hAnsi="Minion Pro" w:cs="Times New Roman"/>
          <w:iCs/>
          <w:lang w:val="en-US"/>
        </w:rPr>
        <w:t xml:space="preserve"> fatwa </w:t>
      </w:r>
      <w:proofErr w:type="spellStart"/>
      <w:r w:rsidRPr="000D189B">
        <w:rPr>
          <w:rFonts w:ascii="Minion Pro" w:hAnsi="Minion Pro" w:cs="Times New Roman"/>
          <w:iCs/>
          <w:lang w:val="en-US"/>
        </w:rPr>
        <w:t>hukum</w:t>
      </w:r>
      <w:proofErr w:type="spellEnd"/>
      <w:r w:rsidRPr="000D189B">
        <w:rPr>
          <w:rFonts w:ascii="Minion Pro" w:hAnsi="Minion Pro" w:cs="Times New Roman"/>
          <w:iCs/>
          <w:lang w:val="en-US"/>
        </w:rPr>
        <w:t xml:space="preserve"> </w:t>
      </w:r>
      <w:proofErr w:type="spellStart"/>
      <w:r w:rsidRPr="000D189B">
        <w:rPr>
          <w:rFonts w:ascii="Minion Pro" w:hAnsi="Minion Pro" w:cs="Times New Roman"/>
          <w:iCs/>
          <w:lang w:val="en-US"/>
        </w:rPr>
        <w:t>berdasarkan</w:t>
      </w:r>
      <w:proofErr w:type="spellEnd"/>
      <w:r w:rsidRPr="000D189B">
        <w:rPr>
          <w:rFonts w:ascii="Minion Pro" w:hAnsi="Minion Pro" w:cs="Times New Roman"/>
          <w:iCs/>
          <w:lang w:val="en-US"/>
        </w:rPr>
        <w:t xml:space="preserve"> </w:t>
      </w:r>
      <w:proofErr w:type="spellStart"/>
      <w:r w:rsidRPr="000D189B">
        <w:rPr>
          <w:rFonts w:ascii="Minion Pro" w:hAnsi="Minion Pro" w:cs="Times New Roman"/>
          <w:iCs/>
          <w:lang w:val="en-US"/>
        </w:rPr>
        <w:t>kaidah</w:t>
      </w:r>
      <w:proofErr w:type="spellEnd"/>
      <w:r w:rsidRPr="000D189B">
        <w:rPr>
          <w:rFonts w:ascii="Minion Pro" w:hAnsi="Minion Pro" w:cs="Times New Roman"/>
          <w:iCs/>
          <w:lang w:val="en-US"/>
        </w:rPr>
        <w:t xml:space="preserve"> </w:t>
      </w:r>
      <w:proofErr w:type="spellStart"/>
      <w:r w:rsidRPr="000D189B">
        <w:rPr>
          <w:rFonts w:ascii="Minion Pro" w:hAnsi="Minion Pro" w:cs="Times New Roman"/>
          <w:iCs/>
          <w:lang w:val="en-US"/>
        </w:rPr>
        <w:t>fiqih</w:t>
      </w:r>
      <w:proofErr w:type="spellEnd"/>
      <w:r w:rsidRPr="000D189B">
        <w:rPr>
          <w:rFonts w:ascii="Minion Pro" w:hAnsi="Minion Pro" w:cs="Times New Roman"/>
          <w:iCs/>
          <w:lang w:val="en-US"/>
        </w:rPr>
        <w:t xml:space="preserve">, </w:t>
      </w:r>
      <w:proofErr w:type="spellStart"/>
      <w:r w:rsidRPr="000D189B">
        <w:rPr>
          <w:rFonts w:ascii="Minion Pro" w:hAnsi="Minion Pro" w:cs="Times New Roman"/>
          <w:iCs/>
          <w:lang w:val="en-US"/>
        </w:rPr>
        <w:t>mereka</w:t>
      </w:r>
      <w:proofErr w:type="spellEnd"/>
      <w:r w:rsidRPr="000D189B">
        <w:rPr>
          <w:rFonts w:ascii="Minion Pro" w:hAnsi="Minion Pro" w:cs="Times New Roman"/>
          <w:iCs/>
          <w:lang w:val="en-US"/>
        </w:rPr>
        <w:t xml:space="preserve"> </w:t>
      </w:r>
      <w:proofErr w:type="spellStart"/>
      <w:r w:rsidRPr="000D189B">
        <w:rPr>
          <w:rFonts w:ascii="Minion Pro" w:hAnsi="Minion Pro" w:cs="Times New Roman"/>
          <w:iCs/>
          <w:lang w:val="en-US"/>
        </w:rPr>
        <w:t>tidak</w:t>
      </w:r>
      <w:proofErr w:type="spellEnd"/>
      <w:r w:rsidRPr="000D189B">
        <w:rPr>
          <w:rFonts w:ascii="Minion Pro" w:hAnsi="Minion Pro" w:cs="Times New Roman"/>
          <w:iCs/>
          <w:lang w:val="en-US"/>
        </w:rPr>
        <w:t xml:space="preserve"> </w:t>
      </w:r>
      <w:proofErr w:type="spellStart"/>
      <w:r w:rsidRPr="000D189B">
        <w:rPr>
          <w:rFonts w:ascii="Minion Pro" w:hAnsi="Minion Pro" w:cs="Times New Roman"/>
          <w:iCs/>
          <w:lang w:val="en-US"/>
        </w:rPr>
        <w:t>mau</w:t>
      </w:r>
      <w:proofErr w:type="spellEnd"/>
      <w:r w:rsidRPr="000D189B">
        <w:rPr>
          <w:rFonts w:ascii="Minion Pro" w:hAnsi="Minion Pro" w:cs="Times New Roman"/>
          <w:iCs/>
          <w:lang w:val="en-US"/>
        </w:rPr>
        <w:t xml:space="preserve"> </w:t>
      </w:r>
      <w:proofErr w:type="spellStart"/>
      <w:r w:rsidRPr="000D189B">
        <w:rPr>
          <w:rFonts w:ascii="Minion Pro" w:hAnsi="Minion Pro" w:cs="Times New Roman"/>
          <w:iCs/>
          <w:lang w:val="en-US"/>
        </w:rPr>
        <w:t>kalau</w:t>
      </w:r>
      <w:proofErr w:type="spellEnd"/>
      <w:r w:rsidRPr="000D189B">
        <w:rPr>
          <w:rFonts w:ascii="Minion Pro" w:hAnsi="Minion Pro" w:cs="Times New Roman"/>
          <w:iCs/>
          <w:lang w:val="en-US"/>
        </w:rPr>
        <w:t xml:space="preserve"> </w:t>
      </w:r>
      <w:proofErr w:type="spellStart"/>
      <w:r w:rsidRPr="000D189B">
        <w:rPr>
          <w:rFonts w:ascii="Minion Pro" w:hAnsi="Minion Pro" w:cs="Times New Roman"/>
          <w:iCs/>
          <w:lang w:val="en-US"/>
        </w:rPr>
        <w:t>tidak</w:t>
      </w:r>
      <w:proofErr w:type="spellEnd"/>
      <w:r w:rsidRPr="000D189B">
        <w:rPr>
          <w:rFonts w:ascii="Minion Pro" w:hAnsi="Minion Pro" w:cs="Times New Roman"/>
          <w:iCs/>
          <w:lang w:val="en-US"/>
        </w:rPr>
        <w:t xml:space="preserve"> </w:t>
      </w:r>
      <w:proofErr w:type="spellStart"/>
      <w:r w:rsidRPr="000D189B">
        <w:rPr>
          <w:rFonts w:ascii="Minion Pro" w:hAnsi="Minion Pro" w:cs="Times New Roman"/>
          <w:iCs/>
          <w:lang w:val="en-US"/>
        </w:rPr>
        <w:t>ada</w:t>
      </w:r>
      <w:proofErr w:type="spellEnd"/>
      <w:r w:rsidRPr="000D189B">
        <w:rPr>
          <w:rFonts w:ascii="Minion Pro" w:hAnsi="Minion Pro" w:cs="Times New Roman"/>
          <w:iCs/>
          <w:lang w:val="en-US"/>
        </w:rPr>
        <w:t xml:space="preserve"> </w:t>
      </w:r>
      <w:proofErr w:type="spellStart"/>
      <w:r w:rsidRPr="000D189B">
        <w:rPr>
          <w:rFonts w:ascii="Minion Pro" w:hAnsi="Minion Pro" w:cs="Times New Roman"/>
          <w:iCs/>
          <w:lang w:val="en-US"/>
        </w:rPr>
        <w:t>landasan</w:t>
      </w:r>
      <w:proofErr w:type="spellEnd"/>
      <w:r w:rsidRPr="000D189B">
        <w:rPr>
          <w:rFonts w:ascii="Minion Pro" w:hAnsi="Minion Pro" w:cs="Times New Roman"/>
          <w:iCs/>
          <w:lang w:val="en-US"/>
        </w:rPr>
        <w:t xml:space="preserve"> </w:t>
      </w:r>
      <w:proofErr w:type="spellStart"/>
      <w:r w:rsidRPr="000D189B">
        <w:rPr>
          <w:rFonts w:ascii="Minion Pro" w:hAnsi="Minion Pro" w:cs="Times New Roman"/>
          <w:iCs/>
          <w:lang w:val="en-US"/>
        </w:rPr>
        <w:t>teks</w:t>
      </w:r>
      <w:proofErr w:type="spellEnd"/>
      <w:r w:rsidRPr="000D189B">
        <w:rPr>
          <w:rFonts w:ascii="Minion Pro" w:hAnsi="Minion Pro" w:cs="Times New Roman"/>
          <w:iCs/>
          <w:lang w:val="en-US"/>
        </w:rPr>
        <w:t>/</w:t>
      </w:r>
      <w:proofErr w:type="spellStart"/>
      <w:r w:rsidRPr="000D189B">
        <w:rPr>
          <w:rFonts w:ascii="Minion Pro" w:hAnsi="Minion Pro" w:cs="Times New Roman"/>
          <w:iCs/>
          <w:lang w:val="en-US"/>
        </w:rPr>
        <w:t>nashnya</w:t>
      </w:r>
      <w:proofErr w:type="spellEnd"/>
      <w:r w:rsidRPr="000D189B">
        <w:rPr>
          <w:rFonts w:ascii="Minion Pro" w:hAnsi="Minion Pro" w:cs="Times New Roman"/>
          <w:iCs/>
          <w:lang w:val="en-US"/>
        </w:rPr>
        <w:t xml:space="preserve">. Jadi </w:t>
      </w:r>
      <w:proofErr w:type="spellStart"/>
      <w:r w:rsidRPr="000D189B">
        <w:rPr>
          <w:rFonts w:ascii="Minion Pro" w:hAnsi="Minion Pro" w:cs="Times New Roman"/>
          <w:iCs/>
          <w:lang w:val="en-US"/>
        </w:rPr>
        <w:t>kelihatan</w:t>
      </w:r>
      <w:proofErr w:type="spellEnd"/>
      <w:r w:rsidRPr="000D189B">
        <w:rPr>
          <w:rFonts w:ascii="Minion Pro" w:hAnsi="Minion Pro" w:cs="Times New Roman"/>
          <w:iCs/>
          <w:lang w:val="en-US"/>
        </w:rPr>
        <w:t xml:space="preserve"> </w:t>
      </w:r>
      <w:proofErr w:type="spellStart"/>
      <w:r w:rsidRPr="000D189B">
        <w:rPr>
          <w:rFonts w:ascii="Minion Pro" w:hAnsi="Minion Pro" w:cs="Times New Roman"/>
          <w:iCs/>
          <w:lang w:val="en-US"/>
        </w:rPr>
        <w:t>tekstual</w:t>
      </w:r>
      <w:proofErr w:type="spellEnd"/>
      <w:r w:rsidRPr="000D189B">
        <w:rPr>
          <w:rFonts w:ascii="Minion Pro" w:hAnsi="Minion Pro" w:cs="Times New Roman"/>
          <w:iCs/>
          <w:lang w:val="en-US"/>
        </w:rPr>
        <w:t xml:space="preserve"> </w:t>
      </w:r>
      <w:proofErr w:type="spellStart"/>
      <w:r w:rsidRPr="000D189B">
        <w:rPr>
          <w:rFonts w:ascii="Minion Pro" w:hAnsi="Minion Pro" w:cs="Times New Roman"/>
          <w:iCs/>
          <w:lang w:val="en-US"/>
        </w:rPr>
        <w:t>tetapi</w:t>
      </w:r>
      <w:proofErr w:type="spellEnd"/>
      <w:r w:rsidRPr="000D189B">
        <w:rPr>
          <w:rFonts w:ascii="Minion Pro" w:hAnsi="Minion Pro" w:cs="Times New Roman"/>
          <w:iCs/>
          <w:lang w:val="en-US"/>
        </w:rPr>
        <w:t xml:space="preserve"> </w:t>
      </w:r>
      <w:proofErr w:type="spellStart"/>
      <w:r w:rsidRPr="000D189B">
        <w:rPr>
          <w:rFonts w:ascii="Minion Pro" w:hAnsi="Minion Pro" w:cs="Times New Roman"/>
          <w:iCs/>
          <w:lang w:val="en-US"/>
        </w:rPr>
        <w:t>sebetulnya</w:t>
      </w:r>
      <w:proofErr w:type="spellEnd"/>
      <w:r w:rsidRPr="000D189B">
        <w:rPr>
          <w:rFonts w:ascii="Minion Pro" w:hAnsi="Minion Pro" w:cs="Times New Roman"/>
          <w:iCs/>
          <w:lang w:val="en-US"/>
        </w:rPr>
        <w:t xml:space="preserve"> </w:t>
      </w:r>
      <w:proofErr w:type="spellStart"/>
      <w:r w:rsidRPr="000D189B">
        <w:rPr>
          <w:rFonts w:ascii="Minion Pro" w:hAnsi="Minion Pro" w:cs="Times New Roman"/>
          <w:iCs/>
          <w:lang w:val="en-US"/>
        </w:rPr>
        <w:t>penaungan</w:t>
      </w:r>
      <w:proofErr w:type="spellEnd"/>
      <w:r w:rsidRPr="000D189B">
        <w:rPr>
          <w:rFonts w:ascii="Minion Pro" w:hAnsi="Minion Pro" w:cs="Times New Roman"/>
          <w:iCs/>
          <w:lang w:val="en-US"/>
        </w:rPr>
        <w:t xml:space="preserve"> </w:t>
      </w:r>
      <w:proofErr w:type="spellStart"/>
      <w:r w:rsidRPr="000D189B">
        <w:rPr>
          <w:rFonts w:ascii="Minion Pro" w:hAnsi="Minion Pro" w:cs="Times New Roman"/>
          <w:iCs/>
          <w:lang w:val="en-US"/>
        </w:rPr>
        <w:t>teks</w:t>
      </w:r>
      <w:proofErr w:type="spellEnd"/>
      <w:r w:rsidRPr="000D189B">
        <w:rPr>
          <w:rFonts w:ascii="Minion Pro" w:hAnsi="Minion Pro" w:cs="Times New Roman"/>
          <w:iCs/>
          <w:lang w:val="en-US"/>
        </w:rPr>
        <w:t xml:space="preserve"> </w:t>
      </w:r>
      <w:proofErr w:type="spellStart"/>
      <w:r w:rsidRPr="000D189B">
        <w:rPr>
          <w:rFonts w:ascii="Minion Pro" w:hAnsi="Minion Pro" w:cs="Times New Roman"/>
          <w:iCs/>
          <w:lang w:val="en-US"/>
        </w:rPr>
        <w:t>itu</w:t>
      </w:r>
      <w:proofErr w:type="spellEnd"/>
      <w:r w:rsidRPr="000D189B">
        <w:rPr>
          <w:rFonts w:ascii="Minion Pro" w:hAnsi="Minion Pro" w:cs="Times New Roman"/>
          <w:iCs/>
          <w:lang w:val="en-US"/>
        </w:rPr>
        <w:t xml:space="preserve"> </w:t>
      </w:r>
      <w:proofErr w:type="spellStart"/>
      <w:r w:rsidRPr="000D189B">
        <w:rPr>
          <w:rFonts w:ascii="Minion Pro" w:hAnsi="Minion Pro" w:cs="Times New Roman"/>
          <w:iCs/>
          <w:lang w:val="en-US"/>
        </w:rPr>
        <w:t>setelah</w:t>
      </w:r>
      <w:proofErr w:type="spellEnd"/>
      <w:r w:rsidRPr="000D189B">
        <w:rPr>
          <w:rFonts w:ascii="Minion Pro" w:hAnsi="Minion Pro" w:cs="Times New Roman"/>
          <w:iCs/>
          <w:lang w:val="en-US"/>
        </w:rPr>
        <w:t xml:space="preserve"> </w:t>
      </w:r>
      <w:proofErr w:type="spellStart"/>
      <w:r w:rsidRPr="000D189B">
        <w:rPr>
          <w:rFonts w:ascii="Minion Pro" w:hAnsi="Minion Pro" w:cs="Times New Roman"/>
          <w:iCs/>
          <w:lang w:val="en-US"/>
        </w:rPr>
        <w:t>melalui</w:t>
      </w:r>
      <w:proofErr w:type="spellEnd"/>
      <w:r w:rsidRPr="000D189B">
        <w:rPr>
          <w:rFonts w:ascii="Minion Pro" w:hAnsi="Minion Pro" w:cs="Times New Roman"/>
          <w:iCs/>
          <w:lang w:val="en-US"/>
        </w:rPr>
        <w:t xml:space="preserve"> proses </w:t>
      </w:r>
      <w:proofErr w:type="spellStart"/>
      <w:r w:rsidRPr="000D189B">
        <w:rPr>
          <w:rFonts w:ascii="Minion Pro" w:hAnsi="Minion Pro" w:cs="Times New Roman"/>
          <w:iCs/>
          <w:lang w:val="en-US"/>
        </w:rPr>
        <w:t>berpikir</w:t>
      </w:r>
      <w:proofErr w:type="spellEnd"/>
      <w:r w:rsidRPr="000D189B">
        <w:rPr>
          <w:rFonts w:ascii="Minion Pro" w:hAnsi="Minion Pro" w:cs="Times New Roman"/>
          <w:iCs/>
          <w:lang w:val="en-US"/>
        </w:rPr>
        <w:t xml:space="preserve"> </w:t>
      </w:r>
      <w:proofErr w:type="spellStart"/>
      <w:r w:rsidRPr="000D189B">
        <w:rPr>
          <w:rFonts w:ascii="Minion Pro" w:hAnsi="Minion Pro" w:cs="Times New Roman"/>
          <w:i/>
          <w:iCs/>
          <w:lang w:val="en-US"/>
        </w:rPr>
        <w:t>manhajy</w:t>
      </w:r>
      <w:proofErr w:type="spellEnd"/>
      <w:r w:rsidRPr="000D189B">
        <w:rPr>
          <w:rFonts w:ascii="Minion Pro" w:hAnsi="Minion Pro" w:cs="Times New Roman"/>
          <w:iCs/>
          <w:lang w:val="en-US"/>
        </w:rPr>
        <w:t xml:space="preserve"> yang </w:t>
      </w:r>
      <w:proofErr w:type="spellStart"/>
      <w:r w:rsidRPr="000D189B">
        <w:rPr>
          <w:rFonts w:ascii="Minion Pro" w:hAnsi="Minion Pro" w:cs="Times New Roman"/>
          <w:iCs/>
          <w:lang w:val="en-US"/>
        </w:rPr>
        <w:t>panjang</w:t>
      </w:r>
      <w:proofErr w:type="spellEnd"/>
      <w:r w:rsidRPr="000D189B">
        <w:rPr>
          <w:rFonts w:ascii="Minion Pro" w:hAnsi="Minion Pro" w:cs="Times New Roman"/>
          <w:iCs/>
          <w:lang w:val="en-US"/>
        </w:rPr>
        <w:t xml:space="preserve"> dan </w:t>
      </w:r>
      <w:proofErr w:type="spellStart"/>
      <w:r w:rsidRPr="000D189B">
        <w:rPr>
          <w:rFonts w:ascii="Minion Pro" w:hAnsi="Minion Pro" w:cs="Times New Roman"/>
          <w:i/>
          <w:iCs/>
          <w:lang w:val="en-US"/>
        </w:rPr>
        <w:t>njelimet</w:t>
      </w:r>
      <w:proofErr w:type="spellEnd"/>
      <w:r w:rsidRPr="000D189B">
        <w:rPr>
          <w:rFonts w:ascii="Minion Pro" w:hAnsi="Minion Pro" w:cs="Times New Roman"/>
          <w:iCs/>
          <w:lang w:val="en-US"/>
        </w:rPr>
        <w:t>.</w:t>
      </w:r>
      <w:r w:rsidRPr="000D189B">
        <w:rPr>
          <w:rFonts w:ascii="Minion Pro" w:hAnsi="Minion Pro" w:cs="Times New Roman"/>
          <w:iCs/>
          <w:vertAlign w:val="superscript"/>
          <w:lang w:val="en-US"/>
        </w:rPr>
        <w:footnoteReference w:id="31"/>
      </w:r>
    </w:p>
    <w:p w14:paraId="5FE37E47" w14:textId="77777777" w:rsidR="000D189B" w:rsidRPr="000D189B" w:rsidRDefault="000D189B" w:rsidP="000D189B">
      <w:pPr>
        <w:spacing w:line="240" w:lineRule="auto"/>
        <w:jc w:val="both"/>
        <w:rPr>
          <w:rFonts w:ascii="Minion Pro" w:hAnsi="Minion Pro" w:cs="Times New Roman"/>
          <w:iCs/>
          <w:sz w:val="24"/>
          <w:szCs w:val="24"/>
          <w:lang w:val="en-US"/>
        </w:rPr>
      </w:pPr>
      <w:proofErr w:type="spellStart"/>
      <w:r w:rsidRPr="000D189B">
        <w:rPr>
          <w:rFonts w:ascii="Minion Pro" w:hAnsi="Minion Pro" w:cs="Times New Roman"/>
          <w:iCs/>
          <w:sz w:val="24"/>
          <w:szCs w:val="24"/>
          <w:lang w:val="en-US"/>
        </w:rPr>
        <w:t>Ilustrasi</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senada</w:t>
      </w:r>
      <w:proofErr w:type="spellEnd"/>
      <w:r w:rsidRPr="000D189B">
        <w:rPr>
          <w:rFonts w:ascii="Minion Pro" w:hAnsi="Minion Pro" w:cs="Times New Roman"/>
          <w:iCs/>
          <w:sz w:val="24"/>
          <w:szCs w:val="24"/>
          <w:lang w:val="en-US"/>
        </w:rPr>
        <w:t xml:space="preserve"> juga </w:t>
      </w:r>
      <w:proofErr w:type="spellStart"/>
      <w:r w:rsidRPr="000D189B">
        <w:rPr>
          <w:rFonts w:ascii="Minion Pro" w:hAnsi="Minion Pro" w:cs="Times New Roman"/>
          <w:iCs/>
          <w:sz w:val="24"/>
          <w:szCs w:val="24"/>
          <w:lang w:val="en-US"/>
        </w:rPr>
        <w:t>diungkapkan</w:t>
      </w:r>
      <w:proofErr w:type="spellEnd"/>
      <w:r w:rsidRPr="000D189B">
        <w:rPr>
          <w:rFonts w:ascii="Minion Pro" w:hAnsi="Minion Pro" w:cs="Times New Roman"/>
          <w:iCs/>
          <w:sz w:val="24"/>
          <w:szCs w:val="24"/>
          <w:lang w:val="en-US"/>
        </w:rPr>
        <w:t xml:space="preserve"> oleh </w:t>
      </w:r>
      <w:proofErr w:type="spellStart"/>
      <w:r w:rsidRPr="000D189B">
        <w:rPr>
          <w:rFonts w:ascii="Minion Pro" w:hAnsi="Minion Pro" w:cs="Times New Roman"/>
          <w:iCs/>
          <w:sz w:val="24"/>
          <w:szCs w:val="24"/>
          <w:lang w:val="en-US"/>
        </w:rPr>
        <w:t>Kiai</w:t>
      </w:r>
      <w:proofErr w:type="spellEnd"/>
      <w:r w:rsidRPr="000D189B">
        <w:rPr>
          <w:rFonts w:ascii="Minion Pro" w:hAnsi="Minion Pro" w:cs="Times New Roman"/>
          <w:iCs/>
          <w:sz w:val="24"/>
          <w:szCs w:val="24"/>
          <w:lang w:val="en-US"/>
        </w:rPr>
        <w:t xml:space="preserve"> Azizi </w:t>
      </w:r>
      <w:proofErr w:type="spellStart"/>
      <w:r w:rsidRPr="000D189B">
        <w:rPr>
          <w:rFonts w:ascii="Minion Pro" w:hAnsi="Minion Pro" w:cs="Times New Roman"/>
          <w:iCs/>
          <w:sz w:val="24"/>
          <w:szCs w:val="24"/>
          <w:lang w:val="en-US"/>
        </w:rPr>
        <w:t>Hasbullah</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Menurutnya</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metode</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
          <w:iCs/>
          <w:sz w:val="24"/>
          <w:szCs w:val="24"/>
          <w:lang w:val="en-US"/>
        </w:rPr>
        <w:t>qaulī</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dalam</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Bahtsul</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Masail</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sebetulnya</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bersifat</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
          <w:iCs/>
          <w:sz w:val="24"/>
          <w:szCs w:val="24"/>
          <w:lang w:val="en-US"/>
        </w:rPr>
        <w:t>manhajī</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sekali</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ketika</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dikaitkan</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lastRenderedPageBreak/>
        <w:t>dengan</w:t>
      </w:r>
      <w:proofErr w:type="spellEnd"/>
      <w:r w:rsidRPr="000D189B">
        <w:rPr>
          <w:rFonts w:ascii="Minion Pro" w:hAnsi="Minion Pro" w:cs="Times New Roman"/>
          <w:iCs/>
          <w:sz w:val="24"/>
          <w:szCs w:val="24"/>
          <w:lang w:val="en-US"/>
        </w:rPr>
        <w:t xml:space="preserve"> proses </w:t>
      </w:r>
      <w:proofErr w:type="spellStart"/>
      <w:r w:rsidRPr="000D189B">
        <w:rPr>
          <w:rFonts w:ascii="Minion Pro" w:hAnsi="Minion Pro" w:cs="Times New Roman"/>
          <w:iCs/>
          <w:sz w:val="24"/>
          <w:szCs w:val="24"/>
          <w:lang w:val="en-US"/>
        </w:rPr>
        <w:t>berpikir</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panjang</w:t>
      </w:r>
      <w:proofErr w:type="spellEnd"/>
      <w:r w:rsidRPr="000D189B">
        <w:rPr>
          <w:rFonts w:ascii="Minion Pro" w:hAnsi="Minion Pro" w:cs="Times New Roman"/>
          <w:iCs/>
          <w:sz w:val="24"/>
          <w:szCs w:val="24"/>
          <w:lang w:val="en-US"/>
        </w:rPr>
        <w:t xml:space="preserve"> yang </w:t>
      </w:r>
      <w:proofErr w:type="spellStart"/>
      <w:r w:rsidRPr="000D189B">
        <w:rPr>
          <w:rFonts w:ascii="Minion Pro" w:hAnsi="Minion Pro" w:cs="Times New Roman"/>
          <w:iCs/>
          <w:sz w:val="24"/>
          <w:szCs w:val="24"/>
          <w:lang w:val="en-US"/>
        </w:rPr>
        <w:t>dilakukan</w:t>
      </w:r>
      <w:proofErr w:type="spellEnd"/>
      <w:r w:rsidRPr="000D189B">
        <w:rPr>
          <w:rFonts w:ascii="Minion Pro" w:hAnsi="Minion Pro" w:cs="Times New Roman"/>
          <w:iCs/>
          <w:sz w:val="24"/>
          <w:szCs w:val="24"/>
          <w:lang w:val="en-US"/>
        </w:rPr>
        <w:t xml:space="preserve"> oleh </w:t>
      </w:r>
      <w:proofErr w:type="spellStart"/>
      <w:r w:rsidRPr="000D189B">
        <w:rPr>
          <w:rFonts w:ascii="Minion Pro" w:hAnsi="Minion Pro" w:cs="Times New Roman"/>
          <w:iCs/>
          <w:sz w:val="24"/>
          <w:szCs w:val="24"/>
          <w:lang w:val="en-US"/>
        </w:rPr>
        <w:t>kiai</w:t>
      </w:r>
      <w:proofErr w:type="spellEnd"/>
      <w:r w:rsidRPr="000D189B">
        <w:rPr>
          <w:rFonts w:ascii="Minion Pro" w:hAnsi="Minion Pro" w:cs="Times New Roman"/>
          <w:iCs/>
          <w:sz w:val="24"/>
          <w:szCs w:val="24"/>
          <w:lang w:val="en-US"/>
        </w:rPr>
        <w:t xml:space="preserve"> NU </w:t>
      </w:r>
      <w:proofErr w:type="spellStart"/>
      <w:r w:rsidRPr="000D189B">
        <w:rPr>
          <w:rFonts w:ascii="Minion Pro" w:hAnsi="Minion Pro" w:cs="Times New Roman"/>
          <w:iCs/>
          <w:sz w:val="24"/>
          <w:szCs w:val="24"/>
          <w:lang w:val="en-US"/>
        </w:rPr>
        <w:t>terhadap</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teks</w:t>
      </w:r>
      <w:proofErr w:type="spellEnd"/>
      <w:r w:rsidRPr="000D189B">
        <w:rPr>
          <w:rFonts w:ascii="Minion Pro" w:hAnsi="Minion Pro" w:cs="Times New Roman"/>
          <w:iCs/>
          <w:sz w:val="24"/>
          <w:szCs w:val="24"/>
          <w:lang w:val="en-US"/>
        </w:rPr>
        <w:t xml:space="preserve"> kitab </w:t>
      </w:r>
      <w:proofErr w:type="spellStart"/>
      <w:r w:rsidRPr="000D189B">
        <w:rPr>
          <w:rFonts w:ascii="Minion Pro" w:hAnsi="Minion Pro" w:cs="Times New Roman"/>
          <w:iCs/>
          <w:sz w:val="24"/>
          <w:szCs w:val="24"/>
          <w:lang w:val="en-US"/>
        </w:rPr>
        <w:t>sebelum</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dijadikan</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referensi</w:t>
      </w:r>
      <w:proofErr w:type="spellEnd"/>
      <w:r w:rsidRPr="000D189B">
        <w:rPr>
          <w:rFonts w:ascii="Minion Pro" w:hAnsi="Minion Pro" w:cs="Times New Roman"/>
          <w:iCs/>
          <w:sz w:val="24"/>
          <w:szCs w:val="24"/>
          <w:lang w:val="en-US"/>
        </w:rPr>
        <w:t>.</w:t>
      </w:r>
      <w:r w:rsidRPr="000D189B">
        <w:rPr>
          <w:rFonts w:ascii="Minion Pro" w:hAnsi="Minion Pro" w:cs="Times New Roman"/>
          <w:iCs/>
          <w:sz w:val="24"/>
          <w:szCs w:val="24"/>
          <w:vertAlign w:val="superscript"/>
          <w:lang w:val="en-US"/>
        </w:rPr>
        <w:footnoteReference w:id="32"/>
      </w:r>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Artinya</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klasifikasi</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secara</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kuantitatif</w:t>
      </w:r>
      <w:proofErr w:type="spellEnd"/>
      <w:r w:rsidRPr="000D189B">
        <w:rPr>
          <w:rFonts w:ascii="Minion Pro" w:hAnsi="Minion Pro" w:cs="Times New Roman"/>
          <w:iCs/>
          <w:sz w:val="24"/>
          <w:szCs w:val="24"/>
          <w:lang w:val="en-US"/>
        </w:rPr>
        <w:t xml:space="preserve"> yang </w:t>
      </w:r>
      <w:proofErr w:type="spellStart"/>
      <w:r w:rsidRPr="000D189B">
        <w:rPr>
          <w:rFonts w:ascii="Minion Pro" w:hAnsi="Minion Pro" w:cs="Times New Roman"/>
          <w:iCs/>
          <w:sz w:val="24"/>
          <w:szCs w:val="24"/>
          <w:lang w:val="en-US"/>
        </w:rPr>
        <w:t>ditulis</w:t>
      </w:r>
      <w:proofErr w:type="spellEnd"/>
      <w:r w:rsidRPr="000D189B">
        <w:rPr>
          <w:rFonts w:ascii="Minion Pro" w:hAnsi="Minion Pro" w:cs="Times New Roman"/>
          <w:iCs/>
          <w:sz w:val="24"/>
          <w:szCs w:val="24"/>
          <w:lang w:val="en-US"/>
        </w:rPr>
        <w:t xml:space="preserve"> oleh </w:t>
      </w:r>
      <w:proofErr w:type="spellStart"/>
      <w:r w:rsidRPr="000D189B">
        <w:rPr>
          <w:rFonts w:ascii="Minion Pro" w:hAnsi="Minion Pro" w:cs="Times New Roman"/>
          <w:iCs/>
          <w:sz w:val="24"/>
          <w:szCs w:val="24"/>
          <w:lang w:val="en-US"/>
        </w:rPr>
        <w:t>Zahro</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Anshor</w:t>
      </w:r>
      <w:proofErr w:type="spellEnd"/>
      <w:r w:rsidRPr="000D189B">
        <w:rPr>
          <w:rFonts w:ascii="Minion Pro" w:hAnsi="Minion Pro" w:cs="Times New Roman"/>
          <w:iCs/>
          <w:sz w:val="24"/>
          <w:szCs w:val="24"/>
          <w:lang w:val="en-US"/>
        </w:rPr>
        <w:t xml:space="preserve">, dan </w:t>
      </w:r>
      <w:proofErr w:type="spellStart"/>
      <w:r w:rsidRPr="000D189B">
        <w:rPr>
          <w:rFonts w:ascii="Minion Pro" w:hAnsi="Minion Pro" w:cs="Times New Roman"/>
          <w:iCs/>
          <w:sz w:val="24"/>
          <w:szCs w:val="24"/>
          <w:lang w:val="en-US"/>
        </w:rPr>
        <w:t>Mahsun</w:t>
      </w:r>
      <w:proofErr w:type="spellEnd"/>
      <w:r w:rsidRPr="000D189B">
        <w:rPr>
          <w:rFonts w:ascii="Minion Pro" w:hAnsi="Minion Pro" w:cs="Times New Roman"/>
          <w:iCs/>
          <w:sz w:val="24"/>
          <w:szCs w:val="24"/>
          <w:lang w:val="en-US"/>
        </w:rPr>
        <w:t xml:space="preserve"> di </w:t>
      </w:r>
      <w:proofErr w:type="spellStart"/>
      <w:r w:rsidRPr="000D189B">
        <w:rPr>
          <w:rFonts w:ascii="Minion Pro" w:hAnsi="Minion Pro" w:cs="Times New Roman"/>
          <w:iCs/>
          <w:sz w:val="24"/>
          <w:szCs w:val="24"/>
          <w:lang w:val="en-US"/>
        </w:rPr>
        <w:t>atas</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menjadi</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problematis</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karena</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menafikan</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sama</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sekali</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adanya</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hubungan</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saling-berkait</w:t>
      </w:r>
      <w:proofErr w:type="spellEnd"/>
      <w:r w:rsidRPr="000D189B">
        <w:rPr>
          <w:rFonts w:ascii="Minion Pro" w:hAnsi="Minion Pro" w:cs="Times New Roman"/>
          <w:iCs/>
          <w:sz w:val="24"/>
          <w:szCs w:val="24"/>
          <w:lang w:val="en-US"/>
        </w:rPr>
        <w:t xml:space="preserve"> di </w:t>
      </w:r>
      <w:proofErr w:type="spellStart"/>
      <w:r w:rsidRPr="000D189B">
        <w:rPr>
          <w:rFonts w:ascii="Minion Pro" w:hAnsi="Minion Pro" w:cs="Times New Roman"/>
          <w:iCs/>
          <w:sz w:val="24"/>
          <w:szCs w:val="24"/>
          <w:lang w:val="en-US"/>
        </w:rPr>
        <w:t>antara</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tiga</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metode</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tadi</w:t>
      </w:r>
      <w:proofErr w:type="spellEnd"/>
      <w:r w:rsidRPr="000D189B">
        <w:rPr>
          <w:rFonts w:ascii="Minion Pro" w:hAnsi="Minion Pro" w:cs="Times New Roman"/>
          <w:iCs/>
          <w:sz w:val="24"/>
          <w:szCs w:val="24"/>
          <w:lang w:val="en-US"/>
        </w:rPr>
        <w:t>.</w:t>
      </w:r>
    </w:p>
    <w:p w14:paraId="28283D46" w14:textId="35704F3F" w:rsidR="000D189B" w:rsidRPr="000D189B" w:rsidRDefault="000D189B" w:rsidP="000D189B">
      <w:pPr>
        <w:spacing w:line="240" w:lineRule="auto"/>
        <w:jc w:val="both"/>
        <w:rPr>
          <w:rFonts w:ascii="Minion Pro" w:hAnsi="Minion Pro" w:cs="Times New Roman"/>
          <w:iCs/>
          <w:sz w:val="24"/>
          <w:szCs w:val="24"/>
        </w:rPr>
      </w:pPr>
      <w:proofErr w:type="spellStart"/>
      <w:r w:rsidRPr="000D189B">
        <w:rPr>
          <w:rFonts w:ascii="Minion Pro" w:hAnsi="Minion Pro" w:cs="Times New Roman"/>
          <w:iCs/>
          <w:sz w:val="24"/>
          <w:szCs w:val="24"/>
          <w:lang w:val="en-US"/>
        </w:rPr>
        <w:t>Untuk</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bisa</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menangkap</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hubungan</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saling-berkait</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tiga</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metode</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tersebut</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maka</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langkah</w:t>
      </w:r>
      <w:proofErr w:type="spellEnd"/>
      <w:r w:rsidRPr="000D189B">
        <w:rPr>
          <w:rFonts w:ascii="Minion Pro" w:hAnsi="Minion Pro" w:cs="Times New Roman"/>
          <w:iCs/>
          <w:sz w:val="24"/>
          <w:szCs w:val="24"/>
          <w:lang w:val="en-US"/>
        </w:rPr>
        <w:t xml:space="preserve"> yang paling </w:t>
      </w:r>
      <w:proofErr w:type="spellStart"/>
      <w:r w:rsidRPr="000D189B">
        <w:rPr>
          <w:rFonts w:ascii="Minion Pro" w:hAnsi="Minion Pro" w:cs="Times New Roman"/>
          <w:iCs/>
          <w:sz w:val="24"/>
          <w:szCs w:val="24"/>
          <w:lang w:val="en-US"/>
        </w:rPr>
        <w:t>efektif</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adalah</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melakukan</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analisis</w:t>
      </w:r>
      <w:proofErr w:type="spellEnd"/>
      <w:r w:rsidRPr="000D189B">
        <w:rPr>
          <w:rFonts w:ascii="Minion Pro" w:hAnsi="Minion Pro" w:cs="Times New Roman"/>
          <w:iCs/>
          <w:sz w:val="24"/>
          <w:szCs w:val="24"/>
        </w:rPr>
        <w:t xml:space="preserve"> secara sinkronis-diakronis</w:t>
      </w:r>
      <w:r w:rsidRPr="000D189B">
        <w:rPr>
          <w:rFonts w:ascii="Minion Pro" w:hAnsi="Minion Pro" w:cs="Times New Roman"/>
          <w:iCs/>
          <w:sz w:val="24"/>
          <w:szCs w:val="24"/>
          <w:lang w:val="en-US"/>
        </w:rPr>
        <w:t xml:space="preserve"> </w:t>
      </w:r>
      <w:r w:rsidRPr="000D189B">
        <w:rPr>
          <w:rFonts w:ascii="Minion Pro" w:hAnsi="Minion Pro" w:cs="Times New Roman"/>
          <w:iCs/>
          <w:sz w:val="24"/>
          <w:szCs w:val="24"/>
        </w:rPr>
        <w:t>f</w:t>
      </w:r>
      <w:proofErr w:type="spellStart"/>
      <w:r w:rsidRPr="000D189B">
        <w:rPr>
          <w:rFonts w:ascii="Minion Pro" w:hAnsi="Minion Pro" w:cs="Times New Roman"/>
          <w:iCs/>
          <w:sz w:val="24"/>
          <w:szCs w:val="24"/>
          <w:lang w:val="en-US"/>
        </w:rPr>
        <w:t>atwa</w:t>
      </w:r>
      <w:proofErr w:type="spellEnd"/>
      <w:r w:rsidRPr="000D189B">
        <w:rPr>
          <w:rFonts w:ascii="Minion Pro" w:hAnsi="Minion Pro" w:cs="Times New Roman"/>
          <w:iCs/>
          <w:sz w:val="24"/>
          <w:szCs w:val="24"/>
          <w:lang w:val="en-US"/>
        </w:rPr>
        <w:t xml:space="preserve">-fatwa </w:t>
      </w:r>
      <w:proofErr w:type="spellStart"/>
      <w:r w:rsidRPr="000D189B">
        <w:rPr>
          <w:rFonts w:ascii="Minion Pro" w:hAnsi="Minion Pro" w:cs="Times New Roman"/>
          <w:iCs/>
          <w:sz w:val="24"/>
          <w:szCs w:val="24"/>
          <w:lang w:val="en-US"/>
        </w:rPr>
        <w:t>hasil</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Bahtsul</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Masail</w:t>
      </w:r>
      <w:proofErr w:type="spellEnd"/>
      <w:r w:rsidRPr="000D189B">
        <w:rPr>
          <w:rFonts w:ascii="Minion Pro" w:hAnsi="Minion Pro" w:cs="Times New Roman"/>
          <w:iCs/>
          <w:sz w:val="24"/>
          <w:szCs w:val="24"/>
          <w:lang w:val="en-US"/>
        </w:rPr>
        <w:t xml:space="preserve"> pada </w:t>
      </w:r>
      <w:proofErr w:type="spellStart"/>
      <w:r w:rsidRPr="000D189B">
        <w:rPr>
          <w:rFonts w:ascii="Minion Pro" w:hAnsi="Minion Pro" w:cs="Times New Roman"/>
          <w:iCs/>
          <w:sz w:val="24"/>
          <w:szCs w:val="24"/>
          <w:lang w:val="en-US"/>
        </w:rPr>
        <w:t>tema</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tertentu</w:t>
      </w:r>
      <w:proofErr w:type="spellEnd"/>
      <w:r w:rsidRPr="000D189B">
        <w:rPr>
          <w:rFonts w:ascii="Minion Pro" w:hAnsi="Minion Pro" w:cs="Times New Roman"/>
          <w:iCs/>
          <w:sz w:val="24"/>
          <w:szCs w:val="24"/>
          <w:lang w:val="en-US"/>
        </w:rPr>
        <w:t xml:space="preserve">. </w:t>
      </w:r>
      <w:r w:rsidRPr="000D189B">
        <w:rPr>
          <w:rFonts w:ascii="Minion Pro" w:hAnsi="Minion Pro" w:cs="Times New Roman"/>
          <w:iCs/>
          <w:sz w:val="24"/>
          <w:szCs w:val="24"/>
        </w:rPr>
        <w:t>F</w:t>
      </w:r>
      <w:proofErr w:type="spellStart"/>
      <w:r w:rsidRPr="000D189B">
        <w:rPr>
          <w:rFonts w:ascii="Minion Pro" w:hAnsi="Minion Pro" w:cs="Times New Roman"/>
          <w:iCs/>
          <w:sz w:val="24"/>
          <w:szCs w:val="24"/>
          <w:lang w:val="en-US"/>
        </w:rPr>
        <w:t>atwa</w:t>
      </w:r>
      <w:proofErr w:type="spellEnd"/>
      <w:r w:rsidRPr="000D189B">
        <w:rPr>
          <w:rFonts w:ascii="Minion Pro" w:hAnsi="Minion Pro" w:cs="Times New Roman"/>
          <w:iCs/>
          <w:sz w:val="24"/>
          <w:szCs w:val="24"/>
          <w:lang w:val="en-US"/>
        </w:rPr>
        <w:t xml:space="preserve">-fatwa yang </w:t>
      </w:r>
      <w:proofErr w:type="spellStart"/>
      <w:r w:rsidRPr="000D189B">
        <w:rPr>
          <w:rFonts w:ascii="Minion Pro" w:hAnsi="Minion Pro" w:cs="Times New Roman"/>
          <w:iCs/>
          <w:sz w:val="24"/>
          <w:szCs w:val="24"/>
          <w:lang w:val="en-US"/>
        </w:rPr>
        <w:t>dianalisis</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adalah</w:t>
      </w:r>
      <w:proofErr w:type="spellEnd"/>
      <w:r w:rsidRPr="000D189B">
        <w:rPr>
          <w:rFonts w:ascii="Minion Pro" w:hAnsi="Minion Pro" w:cs="Times New Roman"/>
          <w:iCs/>
          <w:sz w:val="24"/>
          <w:szCs w:val="24"/>
          <w:lang w:val="en-US"/>
        </w:rPr>
        <w:t xml:space="preserve"> fatwa-fatwa </w:t>
      </w:r>
      <w:proofErr w:type="spellStart"/>
      <w:r w:rsidRPr="000D189B">
        <w:rPr>
          <w:rFonts w:ascii="Minion Pro" w:hAnsi="Minion Pro" w:cs="Times New Roman"/>
          <w:iCs/>
          <w:sz w:val="24"/>
          <w:szCs w:val="24"/>
          <w:lang w:val="en-US"/>
        </w:rPr>
        <w:t>Bahtsul</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Masail</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sebelum</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Munas</w:t>
      </w:r>
      <w:proofErr w:type="spellEnd"/>
      <w:r w:rsidRPr="000D189B">
        <w:rPr>
          <w:rFonts w:ascii="Minion Pro" w:hAnsi="Minion Pro" w:cs="Times New Roman"/>
          <w:iCs/>
          <w:sz w:val="24"/>
          <w:szCs w:val="24"/>
          <w:lang w:val="en-US"/>
        </w:rPr>
        <w:t xml:space="preserve"> Alim Ulama NU </w:t>
      </w:r>
      <w:proofErr w:type="spellStart"/>
      <w:r w:rsidRPr="000D189B">
        <w:rPr>
          <w:rFonts w:ascii="Minion Pro" w:hAnsi="Minion Pro" w:cs="Times New Roman"/>
          <w:iCs/>
          <w:sz w:val="24"/>
          <w:szCs w:val="24"/>
          <w:lang w:val="en-US"/>
        </w:rPr>
        <w:t>tahun</w:t>
      </w:r>
      <w:proofErr w:type="spellEnd"/>
      <w:r w:rsidRPr="000D189B">
        <w:rPr>
          <w:rFonts w:ascii="Minion Pro" w:hAnsi="Minion Pro" w:cs="Times New Roman"/>
          <w:iCs/>
          <w:sz w:val="24"/>
          <w:szCs w:val="24"/>
          <w:lang w:val="en-US"/>
        </w:rPr>
        <w:t xml:space="preserve"> 1992. </w:t>
      </w:r>
      <w:proofErr w:type="spellStart"/>
      <w:r w:rsidRPr="000D189B">
        <w:rPr>
          <w:rFonts w:ascii="Minion Pro" w:hAnsi="Minion Pro" w:cs="Times New Roman"/>
          <w:iCs/>
          <w:sz w:val="24"/>
          <w:szCs w:val="24"/>
          <w:lang w:val="en-US"/>
        </w:rPr>
        <w:t>Tujuannya</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adalah</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untuk</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menunjukkan</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bahwa</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jauh</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sebelum</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trilogi</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metode</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
          <w:iCs/>
          <w:sz w:val="24"/>
          <w:szCs w:val="24"/>
          <w:lang w:val="en-US"/>
        </w:rPr>
        <w:t>istinbāth</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hukum</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itu</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dibakukan</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Bahtsul</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Masail</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sebetulnya</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sudah</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mengenali</w:t>
      </w:r>
      <w:proofErr w:type="spellEnd"/>
      <w:r w:rsidRPr="000D189B">
        <w:rPr>
          <w:rFonts w:ascii="Minion Pro" w:hAnsi="Minion Pro" w:cs="Times New Roman"/>
          <w:iCs/>
          <w:sz w:val="24"/>
          <w:szCs w:val="24"/>
          <w:lang w:val="en-US"/>
        </w:rPr>
        <w:t xml:space="preserve"> dan </w:t>
      </w:r>
      <w:proofErr w:type="spellStart"/>
      <w:r w:rsidRPr="000D189B">
        <w:rPr>
          <w:rFonts w:ascii="Minion Pro" w:hAnsi="Minion Pro" w:cs="Times New Roman"/>
          <w:iCs/>
          <w:sz w:val="24"/>
          <w:szCs w:val="24"/>
          <w:lang w:val="en-US"/>
        </w:rPr>
        <w:t>menerapkannya</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sejak</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awal</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Dengan</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demikian</w:t>
      </w:r>
      <w:proofErr w:type="spellEnd"/>
      <w:r w:rsidRPr="000D189B">
        <w:rPr>
          <w:rFonts w:ascii="Minion Pro" w:hAnsi="Minion Pro" w:cs="Times New Roman"/>
          <w:iCs/>
          <w:sz w:val="24"/>
          <w:szCs w:val="24"/>
          <w:lang w:val="en-US"/>
        </w:rPr>
        <w:t>,</w:t>
      </w:r>
      <w:r w:rsidRPr="000D189B">
        <w:rPr>
          <w:rFonts w:ascii="Minion Pro" w:hAnsi="Minion Pro" w:cs="Times New Roman"/>
          <w:iCs/>
          <w:sz w:val="24"/>
          <w:szCs w:val="24"/>
        </w:rPr>
        <w:t xml:space="preserve"> selain bahwa relasi trilogi metode</w:t>
      </w:r>
      <w:r w:rsidRPr="000D189B">
        <w:rPr>
          <w:rFonts w:ascii="Minion Pro" w:hAnsi="Minion Pro" w:cs="Times New Roman"/>
          <w:iCs/>
          <w:sz w:val="24"/>
          <w:szCs w:val="24"/>
          <w:lang w:val="en-US"/>
        </w:rPr>
        <w:t xml:space="preserve"> </w:t>
      </w:r>
      <w:proofErr w:type="spellStart"/>
      <w:r w:rsidRPr="000D189B">
        <w:rPr>
          <w:rFonts w:ascii="Minion Pro" w:hAnsi="Minion Pro" w:cs="Times New Roman"/>
          <w:i/>
          <w:iCs/>
          <w:sz w:val="24"/>
          <w:szCs w:val="24"/>
          <w:lang w:val="en-US"/>
        </w:rPr>
        <w:t>istinbāth</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dalam</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Bahtsul</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Masail</w:t>
      </w:r>
      <w:proofErr w:type="spellEnd"/>
      <w:r w:rsidRPr="000D189B">
        <w:rPr>
          <w:rFonts w:ascii="Minion Pro" w:hAnsi="Minion Pro" w:cs="Times New Roman"/>
          <w:iCs/>
          <w:sz w:val="24"/>
          <w:szCs w:val="24"/>
          <w:lang w:val="en-US"/>
        </w:rPr>
        <w:t xml:space="preserve"> </w:t>
      </w:r>
      <w:r w:rsidRPr="000D189B">
        <w:rPr>
          <w:rFonts w:ascii="Minion Pro" w:hAnsi="Minion Pro" w:cs="Times New Roman"/>
          <w:iCs/>
          <w:sz w:val="24"/>
          <w:szCs w:val="24"/>
        </w:rPr>
        <w:t xml:space="preserve">NU bersifat dinamis dan bertumpang-tindih satu sama lain, analisis tersebut juga bisa membuktikan bahwa trilogi trilogi </w:t>
      </w:r>
      <w:r w:rsidRPr="000D189B">
        <w:rPr>
          <w:rFonts w:ascii="Minion Pro" w:hAnsi="Minion Pro" w:cs="Times New Roman"/>
          <w:i/>
          <w:iCs/>
          <w:sz w:val="24"/>
          <w:szCs w:val="24"/>
        </w:rPr>
        <w:t xml:space="preserve">instinbāth </w:t>
      </w:r>
      <w:r w:rsidRPr="000D189B">
        <w:rPr>
          <w:rFonts w:ascii="Minion Pro" w:hAnsi="Minion Pro" w:cs="Times New Roman"/>
          <w:iCs/>
          <w:sz w:val="24"/>
          <w:szCs w:val="24"/>
        </w:rPr>
        <w:t>tersebut</w:t>
      </w:r>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lebih</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tepat</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disebut</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sebagai</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institusionalisasi</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terhadap</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tradisi</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berpikir</w:t>
      </w:r>
      <w:proofErr w:type="spellEnd"/>
      <w:r w:rsidRPr="000D189B">
        <w:rPr>
          <w:rFonts w:ascii="Minion Pro" w:hAnsi="Minion Pro" w:cs="Times New Roman"/>
          <w:iCs/>
          <w:sz w:val="24"/>
          <w:szCs w:val="24"/>
          <w:lang w:val="en-US"/>
        </w:rPr>
        <w:t xml:space="preserve"> yang </w:t>
      </w:r>
      <w:proofErr w:type="spellStart"/>
      <w:r w:rsidRPr="000D189B">
        <w:rPr>
          <w:rFonts w:ascii="Minion Pro" w:hAnsi="Minion Pro" w:cs="Times New Roman"/>
          <w:iCs/>
          <w:sz w:val="24"/>
          <w:szCs w:val="24"/>
          <w:lang w:val="en-US"/>
        </w:rPr>
        <w:t>sudah</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diterapkan</w:t>
      </w:r>
      <w:proofErr w:type="spellEnd"/>
      <w:r w:rsidRPr="000D189B">
        <w:rPr>
          <w:rFonts w:ascii="Minion Pro" w:hAnsi="Minion Pro" w:cs="Times New Roman"/>
          <w:iCs/>
          <w:sz w:val="24"/>
          <w:szCs w:val="24"/>
          <w:lang w:val="en-US"/>
        </w:rPr>
        <w:t xml:space="preserve"> </w:t>
      </w:r>
      <w:proofErr w:type="spellStart"/>
      <w:r w:rsidRPr="000D189B">
        <w:rPr>
          <w:rFonts w:ascii="Minion Pro" w:hAnsi="Minion Pro" w:cs="Times New Roman"/>
          <w:iCs/>
          <w:sz w:val="24"/>
          <w:szCs w:val="24"/>
          <w:lang w:val="en-US"/>
        </w:rPr>
        <w:t>sejak</w:t>
      </w:r>
      <w:proofErr w:type="spellEnd"/>
      <w:r w:rsidRPr="000D189B">
        <w:rPr>
          <w:rFonts w:ascii="Minion Pro" w:hAnsi="Minion Pro" w:cs="Times New Roman"/>
          <w:iCs/>
          <w:sz w:val="24"/>
          <w:szCs w:val="24"/>
          <w:lang w:val="en-US"/>
        </w:rPr>
        <w:t xml:space="preserve"> </w:t>
      </w:r>
      <w:r w:rsidRPr="000D189B">
        <w:rPr>
          <w:rFonts w:ascii="Minion Pro" w:hAnsi="Minion Pro" w:cs="Times New Roman"/>
          <w:iCs/>
          <w:sz w:val="24"/>
          <w:szCs w:val="24"/>
        </w:rPr>
        <w:t>lama</w:t>
      </w:r>
      <w:r w:rsidRPr="000D189B">
        <w:rPr>
          <w:rFonts w:ascii="Minion Pro" w:hAnsi="Minion Pro" w:cs="Times New Roman"/>
          <w:iCs/>
          <w:sz w:val="24"/>
          <w:szCs w:val="24"/>
          <w:lang w:val="en-US"/>
        </w:rPr>
        <w:t>.</w:t>
      </w:r>
    </w:p>
    <w:p w14:paraId="33DA431F" w14:textId="538271D8" w:rsidR="00C22542" w:rsidRPr="00C22542" w:rsidRDefault="00C27059" w:rsidP="00C27059">
      <w:pPr>
        <w:pStyle w:val="ListParagraph"/>
        <w:numPr>
          <w:ilvl w:val="1"/>
          <w:numId w:val="1"/>
        </w:numPr>
        <w:spacing w:line="240" w:lineRule="auto"/>
        <w:ind w:left="567" w:hanging="567"/>
        <w:jc w:val="both"/>
        <w:rPr>
          <w:rFonts w:ascii="Minion Pro" w:hAnsi="Minion Pro" w:cs="Times New Roman"/>
          <w:b/>
          <w:bCs/>
          <w:iCs/>
          <w:sz w:val="24"/>
          <w:szCs w:val="24"/>
          <w:lang w:val="en-US"/>
        </w:rPr>
      </w:pPr>
      <w:r w:rsidRPr="00C27059">
        <w:rPr>
          <w:rFonts w:ascii="Minion Pro" w:hAnsi="Minion Pro" w:cs="Times New Roman"/>
          <w:b/>
          <w:bCs/>
          <w:iCs/>
          <w:sz w:val="24"/>
          <w:szCs w:val="24"/>
        </w:rPr>
        <w:t>Peran Perempuan di Ranah Publik</w:t>
      </w:r>
      <w:r w:rsidRPr="00C27059">
        <w:rPr>
          <w:rFonts w:ascii="Minion Pro" w:hAnsi="Minion Pro" w:cs="Times New Roman"/>
          <w:b/>
          <w:bCs/>
          <w:iCs/>
          <w:sz w:val="24"/>
          <w:szCs w:val="24"/>
          <w:lang w:val="en-US"/>
        </w:rPr>
        <w:t xml:space="preserve"> </w:t>
      </w:r>
    </w:p>
    <w:p w14:paraId="59F9048B" w14:textId="77777777" w:rsidR="00C27059" w:rsidRDefault="00C27059" w:rsidP="00C27059">
      <w:pPr>
        <w:spacing w:line="240" w:lineRule="auto"/>
        <w:jc w:val="both"/>
        <w:rPr>
          <w:rFonts w:ascii="Minion Pro" w:hAnsi="Minion Pro" w:cs="Times New Roman"/>
          <w:iCs/>
          <w:sz w:val="24"/>
          <w:szCs w:val="24"/>
          <w:lang w:val="en-US"/>
        </w:rPr>
      </w:pPr>
      <w:r w:rsidRPr="00C27059">
        <w:rPr>
          <w:rFonts w:ascii="Minion Pro" w:hAnsi="Minion Pro" w:cs="Times New Roman"/>
          <w:iCs/>
          <w:sz w:val="24"/>
          <w:szCs w:val="24"/>
        </w:rPr>
        <w:t xml:space="preserve">Tema dari fatwa-fatwa hasil Bahtsul Masail yang penting untuk diangkat kali ini adalah tema peran perempuan di ranah publik. </w:t>
      </w:r>
      <w:proofErr w:type="spellStart"/>
      <w:r w:rsidRPr="00C27059">
        <w:rPr>
          <w:rFonts w:ascii="Minion Pro" w:hAnsi="Minion Pro" w:cs="Times New Roman"/>
          <w:iCs/>
          <w:sz w:val="24"/>
          <w:szCs w:val="24"/>
          <w:lang w:val="en-US"/>
        </w:rPr>
        <w:t>Isu</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ini</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pertama</w:t>
      </w:r>
      <w:proofErr w:type="spellEnd"/>
      <w:r w:rsidRPr="00C27059">
        <w:rPr>
          <w:rFonts w:ascii="Minion Pro" w:hAnsi="Minion Pro" w:cs="Times New Roman"/>
          <w:iCs/>
          <w:sz w:val="24"/>
          <w:szCs w:val="24"/>
          <w:lang w:val="en-US"/>
        </w:rPr>
        <w:t xml:space="preserve"> kali </w:t>
      </w:r>
      <w:proofErr w:type="spellStart"/>
      <w:r w:rsidRPr="00C27059">
        <w:rPr>
          <w:rFonts w:ascii="Minion Pro" w:hAnsi="Minion Pro" w:cs="Times New Roman"/>
          <w:iCs/>
          <w:sz w:val="24"/>
          <w:szCs w:val="24"/>
          <w:lang w:val="en-US"/>
        </w:rPr>
        <w:t>diangkat</w:t>
      </w:r>
      <w:proofErr w:type="spellEnd"/>
      <w:r w:rsidRPr="00C27059">
        <w:rPr>
          <w:rFonts w:ascii="Minion Pro" w:hAnsi="Minion Pro" w:cs="Times New Roman"/>
          <w:iCs/>
          <w:sz w:val="24"/>
          <w:szCs w:val="24"/>
          <w:lang w:val="en-US"/>
        </w:rPr>
        <w:t xml:space="preserve"> pada </w:t>
      </w:r>
      <w:proofErr w:type="spellStart"/>
      <w:r w:rsidRPr="00C27059">
        <w:rPr>
          <w:rFonts w:ascii="Minion Pro" w:hAnsi="Minion Pro" w:cs="Times New Roman"/>
          <w:iCs/>
          <w:sz w:val="24"/>
          <w:szCs w:val="24"/>
          <w:lang w:val="en-US"/>
        </w:rPr>
        <w:t>Bahtsul</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Masail</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edisi</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tahun</w:t>
      </w:r>
      <w:proofErr w:type="spellEnd"/>
      <w:r w:rsidRPr="00C27059">
        <w:rPr>
          <w:rFonts w:ascii="Minion Pro" w:hAnsi="Minion Pro" w:cs="Times New Roman"/>
          <w:iCs/>
          <w:sz w:val="24"/>
          <w:szCs w:val="24"/>
          <w:lang w:val="en-US"/>
        </w:rPr>
        <w:t xml:space="preserve"> 1935 </w:t>
      </w:r>
      <w:proofErr w:type="spellStart"/>
      <w:r w:rsidRPr="00C27059">
        <w:rPr>
          <w:rFonts w:ascii="Minion Pro" w:hAnsi="Minion Pro" w:cs="Times New Roman"/>
          <w:iCs/>
          <w:sz w:val="24"/>
          <w:szCs w:val="24"/>
          <w:lang w:val="en-US"/>
        </w:rPr>
        <w:t>dengan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tajuk</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Munculnya</w:t>
      </w:r>
      <w:proofErr w:type="spellEnd"/>
      <w:r w:rsidRPr="00C27059">
        <w:rPr>
          <w:rFonts w:ascii="Minion Pro" w:hAnsi="Minion Pro" w:cs="Times New Roman"/>
          <w:iCs/>
          <w:sz w:val="24"/>
          <w:szCs w:val="24"/>
          <w:lang w:val="en-US"/>
        </w:rPr>
        <w:t xml:space="preserve"> Perempuan </w:t>
      </w:r>
      <w:proofErr w:type="spellStart"/>
      <w:r w:rsidRPr="00C27059">
        <w:rPr>
          <w:rFonts w:ascii="Minion Pro" w:hAnsi="Minion Pro" w:cs="Times New Roman"/>
          <w:iCs/>
          <w:sz w:val="24"/>
          <w:szCs w:val="24"/>
          <w:lang w:val="en-US"/>
        </w:rPr>
        <w:t>untuk</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Pidato</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Keagamaan</w:t>
      </w:r>
      <w:proofErr w:type="spellEnd"/>
      <w:r w:rsidRPr="00C27059">
        <w:rPr>
          <w:rFonts w:ascii="Minion Pro" w:hAnsi="Minion Pro" w:cs="Times New Roman"/>
          <w:iCs/>
          <w:sz w:val="24"/>
          <w:szCs w:val="24"/>
          <w:lang w:val="en-US"/>
        </w:rPr>
        <w:t xml:space="preserve">”. Fatwa yang </w:t>
      </w:r>
      <w:proofErr w:type="spellStart"/>
      <w:r w:rsidRPr="00C27059">
        <w:rPr>
          <w:rFonts w:ascii="Minion Pro" w:hAnsi="Minion Pro" w:cs="Times New Roman"/>
          <w:iCs/>
          <w:sz w:val="24"/>
          <w:szCs w:val="24"/>
          <w:lang w:val="en-US"/>
        </w:rPr>
        <w:t>diputuskan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ketika</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itu</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adalah</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bahwa</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hukum</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perempuan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berdiri</w:t>
      </w:r>
      <w:proofErr w:type="spellEnd"/>
      <w:r w:rsidRPr="00C27059">
        <w:rPr>
          <w:rFonts w:ascii="Minion Pro" w:hAnsi="Minion Pro" w:cs="Times New Roman"/>
          <w:iCs/>
          <w:sz w:val="24"/>
          <w:szCs w:val="24"/>
          <w:lang w:val="en-US"/>
        </w:rPr>
        <w:t xml:space="preserve"> di </w:t>
      </w:r>
      <w:proofErr w:type="spellStart"/>
      <w:r w:rsidRPr="00C27059">
        <w:rPr>
          <w:rFonts w:ascii="Minion Pro" w:hAnsi="Minion Pro" w:cs="Times New Roman"/>
          <w:iCs/>
          <w:sz w:val="24"/>
          <w:szCs w:val="24"/>
          <w:lang w:val="en-US"/>
        </w:rPr>
        <w:t>hadapan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lelaki</w:t>
      </w:r>
      <w:proofErr w:type="spellEnd"/>
      <w:r w:rsidRPr="00C27059">
        <w:rPr>
          <w:rFonts w:ascii="Minion Pro" w:hAnsi="Minion Pro" w:cs="Times New Roman"/>
          <w:iCs/>
          <w:sz w:val="24"/>
          <w:szCs w:val="24"/>
          <w:lang w:val="en-US"/>
        </w:rPr>
        <w:t xml:space="preserve"> lain </w:t>
      </w:r>
      <w:proofErr w:type="spellStart"/>
      <w:r w:rsidRPr="00C27059">
        <w:rPr>
          <w:rFonts w:ascii="Minion Pro" w:hAnsi="Minion Pro" w:cs="Times New Roman"/>
          <w:iCs/>
          <w:sz w:val="24"/>
          <w:szCs w:val="24"/>
          <w:lang w:val="en-US"/>
        </w:rPr>
        <w:t>adalah</w:t>
      </w:r>
      <w:proofErr w:type="spellEnd"/>
      <w:r w:rsidRPr="00C27059">
        <w:rPr>
          <w:rFonts w:ascii="Minion Pro" w:hAnsi="Minion Pro" w:cs="Times New Roman"/>
          <w:iCs/>
          <w:sz w:val="24"/>
          <w:szCs w:val="24"/>
          <w:lang w:val="en-US"/>
        </w:rPr>
        <w:t xml:space="preserve"> haram, </w:t>
      </w:r>
      <w:proofErr w:type="spellStart"/>
      <w:r w:rsidRPr="00C27059">
        <w:rPr>
          <w:rFonts w:ascii="Minion Pro" w:hAnsi="Minion Pro" w:cs="Times New Roman"/>
          <w:iCs/>
          <w:sz w:val="24"/>
          <w:szCs w:val="24"/>
          <w:lang w:val="en-US"/>
        </w:rPr>
        <w:t>kecuali</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jika</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bisa</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mematuhi</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aturan</w:t>
      </w:r>
      <w:proofErr w:type="spellEnd"/>
      <w:r w:rsidRPr="00C27059">
        <w:rPr>
          <w:rFonts w:ascii="Minion Pro" w:hAnsi="Minion Pro" w:cs="Times New Roman"/>
          <w:iCs/>
          <w:sz w:val="24"/>
          <w:szCs w:val="24"/>
          <w:lang w:val="en-US"/>
        </w:rPr>
        <w:t xml:space="preserve"> Islam, </w:t>
      </w:r>
      <w:proofErr w:type="spellStart"/>
      <w:r w:rsidRPr="00C27059">
        <w:rPr>
          <w:rFonts w:ascii="Minion Pro" w:hAnsi="Minion Pro" w:cs="Times New Roman"/>
          <w:iCs/>
          <w:sz w:val="24"/>
          <w:szCs w:val="24"/>
          <w:lang w:val="en-US"/>
        </w:rPr>
        <w:t>seperti</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menutup</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aurat</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serta</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aman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dari</w:t>
      </w:r>
      <w:proofErr w:type="spellEnd"/>
      <w:r w:rsidRPr="00C27059">
        <w:rPr>
          <w:rFonts w:ascii="Minion Pro" w:hAnsi="Minion Pro" w:cs="Times New Roman"/>
          <w:iCs/>
          <w:sz w:val="24"/>
          <w:szCs w:val="24"/>
          <w:lang w:val="en-US"/>
        </w:rPr>
        <w:t xml:space="preserve"> fitnah. Jika </w:t>
      </w:r>
      <w:proofErr w:type="spellStart"/>
      <w:r w:rsidRPr="00C27059">
        <w:rPr>
          <w:rFonts w:ascii="Minion Pro" w:hAnsi="Minion Pro" w:cs="Times New Roman"/>
          <w:iCs/>
          <w:sz w:val="24"/>
          <w:szCs w:val="24"/>
          <w:lang w:val="en-US"/>
        </w:rPr>
        <w:t>syarat</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ini</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terpenuhi</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maka</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hukumnya</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menjadi</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boleh</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
          <w:iCs/>
          <w:sz w:val="24"/>
          <w:szCs w:val="24"/>
          <w:lang w:val="en-US"/>
        </w:rPr>
        <w:t>jā’iz</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mengingat</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suara</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perempuan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tidak</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termasuk</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aurat</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menurut</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pendapat</w:t>
      </w:r>
      <w:proofErr w:type="spellEnd"/>
      <w:r w:rsidRPr="00C27059">
        <w:rPr>
          <w:rFonts w:ascii="Minion Pro" w:hAnsi="Minion Pro" w:cs="Times New Roman"/>
          <w:iCs/>
          <w:sz w:val="24"/>
          <w:szCs w:val="24"/>
          <w:lang w:val="en-US"/>
        </w:rPr>
        <w:t xml:space="preserve"> yang </w:t>
      </w:r>
      <w:proofErr w:type="spellStart"/>
      <w:r w:rsidRPr="00C27059">
        <w:rPr>
          <w:rFonts w:ascii="Minion Pro" w:hAnsi="Minion Pro" w:cs="Times New Roman"/>
          <w:iCs/>
          <w:sz w:val="24"/>
          <w:szCs w:val="24"/>
          <w:lang w:val="en-US"/>
        </w:rPr>
        <w:t>lebih</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kuat</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Referensi</w:t>
      </w:r>
      <w:proofErr w:type="spellEnd"/>
      <w:r w:rsidRPr="00C27059">
        <w:rPr>
          <w:rFonts w:ascii="Minion Pro" w:hAnsi="Minion Pro" w:cs="Times New Roman"/>
          <w:iCs/>
          <w:sz w:val="24"/>
          <w:szCs w:val="24"/>
          <w:lang w:val="en-US"/>
        </w:rPr>
        <w:t xml:space="preserve"> yang </w:t>
      </w:r>
      <w:proofErr w:type="spellStart"/>
      <w:r w:rsidRPr="00C27059">
        <w:rPr>
          <w:rFonts w:ascii="Minion Pro" w:hAnsi="Minion Pro" w:cs="Times New Roman"/>
          <w:iCs/>
          <w:sz w:val="24"/>
          <w:szCs w:val="24"/>
          <w:lang w:val="en-US"/>
        </w:rPr>
        <w:t>digunakan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adalah</w:t>
      </w:r>
      <w:proofErr w:type="spellEnd"/>
      <w:r w:rsidRPr="00C27059">
        <w:rPr>
          <w:rFonts w:ascii="Minion Pro" w:hAnsi="Minion Pro" w:cs="Times New Roman"/>
          <w:iCs/>
          <w:sz w:val="24"/>
          <w:szCs w:val="24"/>
          <w:lang w:val="en-US"/>
        </w:rPr>
        <w:t xml:space="preserve"> kitab </w:t>
      </w:r>
      <w:proofErr w:type="spellStart"/>
      <w:r w:rsidRPr="00C27059">
        <w:rPr>
          <w:rFonts w:ascii="Minion Pro" w:hAnsi="Minion Pro" w:cs="Times New Roman"/>
          <w:i/>
          <w:iCs/>
          <w:sz w:val="24"/>
          <w:szCs w:val="24"/>
          <w:lang w:val="en-US"/>
        </w:rPr>
        <w:t>Itti</w:t>
      </w:r>
      <w:proofErr w:type="spellEnd"/>
      <w:r w:rsidRPr="00C27059">
        <w:rPr>
          <w:rFonts w:ascii="Minion Pro" w:hAnsi="Minion Pro" w:cs="Times New Roman"/>
          <w:i/>
          <w:iCs/>
          <w:sz w:val="24"/>
          <w:szCs w:val="24"/>
        </w:rPr>
        <w:t>h</w:t>
      </w:r>
      <w:proofErr w:type="spellStart"/>
      <w:r w:rsidRPr="00C27059">
        <w:rPr>
          <w:rFonts w:ascii="Minion Pro" w:hAnsi="Minion Pro" w:cs="Times New Roman"/>
          <w:i/>
          <w:iCs/>
          <w:sz w:val="24"/>
          <w:szCs w:val="24"/>
          <w:lang w:val="en-US"/>
        </w:rPr>
        <w:t>āf</w:t>
      </w:r>
      <w:proofErr w:type="spellEnd"/>
      <w:r w:rsidRPr="00C27059">
        <w:rPr>
          <w:rFonts w:ascii="Minion Pro" w:hAnsi="Minion Pro" w:cs="Times New Roman"/>
          <w:i/>
          <w:iCs/>
          <w:sz w:val="24"/>
          <w:szCs w:val="24"/>
          <w:lang w:val="en-US"/>
        </w:rPr>
        <w:t xml:space="preserve"> </w:t>
      </w:r>
      <w:proofErr w:type="spellStart"/>
      <w:r w:rsidRPr="00C27059">
        <w:rPr>
          <w:rFonts w:ascii="Minion Pro" w:hAnsi="Minion Pro" w:cs="Times New Roman"/>
          <w:i/>
          <w:iCs/>
          <w:sz w:val="24"/>
          <w:szCs w:val="24"/>
          <w:lang w:val="en-US"/>
        </w:rPr>
        <w:t>Sādāt</w:t>
      </w:r>
      <w:proofErr w:type="spellEnd"/>
      <w:r w:rsidRPr="00C27059">
        <w:rPr>
          <w:rFonts w:ascii="Minion Pro" w:hAnsi="Minion Pro" w:cs="Times New Roman"/>
          <w:i/>
          <w:iCs/>
          <w:sz w:val="24"/>
          <w:szCs w:val="24"/>
          <w:lang w:val="en-US"/>
        </w:rPr>
        <w:t xml:space="preserve"> al-</w:t>
      </w:r>
      <w:proofErr w:type="spellStart"/>
      <w:r w:rsidRPr="00C27059">
        <w:rPr>
          <w:rFonts w:ascii="Minion Pro" w:hAnsi="Minion Pro" w:cs="Times New Roman"/>
          <w:i/>
          <w:iCs/>
          <w:sz w:val="24"/>
          <w:szCs w:val="24"/>
          <w:lang w:val="en-US"/>
        </w:rPr>
        <w:t>Muttaqīn</w:t>
      </w:r>
      <w:proofErr w:type="spellEnd"/>
      <w:r w:rsidRPr="00C27059">
        <w:rPr>
          <w:rFonts w:ascii="Minion Pro" w:hAnsi="Minion Pro" w:cs="Times New Roman"/>
          <w:i/>
          <w:iCs/>
          <w:sz w:val="24"/>
          <w:szCs w:val="24"/>
          <w:lang w:val="en-US"/>
        </w:rPr>
        <w:t xml:space="preserve"> </w:t>
      </w:r>
      <w:proofErr w:type="spellStart"/>
      <w:r w:rsidRPr="00C27059">
        <w:rPr>
          <w:rFonts w:ascii="Minion Pro" w:hAnsi="Minion Pro" w:cs="Times New Roman"/>
          <w:iCs/>
          <w:sz w:val="24"/>
          <w:szCs w:val="24"/>
          <w:lang w:val="en-US"/>
        </w:rPr>
        <w:t>karya</w:t>
      </w:r>
      <w:proofErr w:type="spellEnd"/>
      <w:r w:rsidRPr="00C27059">
        <w:rPr>
          <w:rFonts w:ascii="Minion Pro" w:hAnsi="Minion Pro" w:cs="Times New Roman"/>
          <w:iCs/>
          <w:sz w:val="24"/>
          <w:szCs w:val="24"/>
          <w:lang w:val="en-US"/>
        </w:rPr>
        <w:t xml:space="preserve"> Mu</w:t>
      </w:r>
      <w:r w:rsidRPr="00C27059">
        <w:rPr>
          <w:rFonts w:ascii="Minion Pro" w:hAnsi="Minion Pro" w:cs="Times New Roman"/>
          <w:iCs/>
          <w:sz w:val="24"/>
          <w:szCs w:val="24"/>
        </w:rPr>
        <w:t>h</w:t>
      </w:r>
      <w:proofErr w:type="spellStart"/>
      <w:r w:rsidRPr="00C27059">
        <w:rPr>
          <w:rFonts w:ascii="Minion Pro" w:hAnsi="Minion Pro" w:cs="Times New Roman"/>
          <w:iCs/>
          <w:sz w:val="24"/>
          <w:szCs w:val="24"/>
          <w:lang w:val="en-US"/>
        </w:rPr>
        <w:t>ammad</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Murta</w:t>
      </w:r>
      <w:proofErr w:type="spellEnd"/>
      <w:r w:rsidRPr="00C27059">
        <w:rPr>
          <w:rFonts w:ascii="Minion Pro" w:hAnsi="Minion Pro" w:cs="Times New Roman"/>
          <w:iCs/>
          <w:sz w:val="24"/>
          <w:szCs w:val="24"/>
        </w:rPr>
        <w:t>dh</w:t>
      </w:r>
      <w:r w:rsidRPr="00C27059">
        <w:rPr>
          <w:rFonts w:ascii="Minion Pro" w:hAnsi="Minion Pro" w:cs="Times New Roman"/>
          <w:iCs/>
          <w:sz w:val="24"/>
          <w:szCs w:val="24"/>
          <w:lang w:val="en-US"/>
        </w:rPr>
        <w:t>ā a</w:t>
      </w:r>
      <w:r w:rsidRPr="00C27059">
        <w:rPr>
          <w:rFonts w:ascii="Minion Pro" w:hAnsi="Minion Pro" w:cs="Times New Roman"/>
          <w:iCs/>
          <w:sz w:val="24"/>
          <w:szCs w:val="24"/>
        </w:rPr>
        <w:t>l</w:t>
      </w:r>
      <w:r w:rsidRPr="00C27059">
        <w:rPr>
          <w:rFonts w:ascii="Minion Pro" w:hAnsi="Minion Pro" w:cs="Times New Roman"/>
          <w:iCs/>
          <w:sz w:val="24"/>
          <w:szCs w:val="24"/>
          <w:lang w:val="en-US"/>
        </w:rPr>
        <w:t>-</w:t>
      </w:r>
      <w:proofErr w:type="spellStart"/>
      <w:r w:rsidRPr="00C27059">
        <w:rPr>
          <w:rFonts w:ascii="Minion Pro" w:hAnsi="Minion Pro" w:cs="Times New Roman"/>
          <w:iCs/>
          <w:sz w:val="24"/>
          <w:szCs w:val="24"/>
          <w:lang w:val="en-US"/>
        </w:rPr>
        <w:t>Zabīdī</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
          <w:iCs/>
          <w:sz w:val="24"/>
          <w:szCs w:val="24"/>
          <w:lang w:val="en-US"/>
        </w:rPr>
        <w:t>Syar</w:t>
      </w:r>
      <w:proofErr w:type="spellEnd"/>
      <w:r w:rsidRPr="00C27059">
        <w:rPr>
          <w:rFonts w:ascii="Minion Pro" w:hAnsi="Minion Pro" w:cs="Times New Roman"/>
          <w:i/>
          <w:iCs/>
          <w:sz w:val="24"/>
          <w:szCs w:val="24"/>
        </w:rPr>
        <w:t>h</w:t>
      </w:r>
      <w:r w:rsidRPr="00C27059">
        <w:rPr>
          <w:rFonts w:ascii="Minion Pro" w:hAnsi="Minion Pro" w:cs="Times New Roman"/>
          <w:i/>
          <w:iCs/>
          <w:sz w:val="24"/>
          <w:szCs w:val="24"/>
          <w:lang w:val="en-US"/>
        </w:rPr>
        <w:t xml:space="preserve"> </w:t>
      </w:r>
      <w:proofErr w:type="spellStart"/>
      <w:r w:rsidRPr="00C27059">
        <w:rPr>
          <w:rFonts w:ascii="Minion Pro" w:hAnsi="Minion Pro" w:cs="Times New Roman"/>
          <w:i/>
          <w:iCs/>
          <w:sz w:val="24"/>
          <w:szCs w:val="24"/>
          <w:lang w:val="en-US"/>
        </w:rPr>
        <w:t>Sittīn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karya</w:t>
      </w:r>
      <w:proofErr w:type="spellEnd"/>
      <w:r w:rsidRPr="00C27059">
        <w:rPr>
          <w:rFonts w:ascii="Minion Pro" w:hAnsi="Minion Pro" w:cs="Times New Roman"/>
          <w:iCs/>
          <w:sz w:val="24"/>
          <w:szCs w:val="24"/>
          <w:lang w:val="en-US"/>
        </w:rPr>
        <w:t xml:space="preserve"> ‘Abd al-</w:t>
      </w:r>
      <w:proofErr w:type="spellStart"/>
      <w:r w:rsidRPr="00C27059">
        <w:rPr>
          <w:rFonts w:ascii="Minion Pro" w:hAnsi="Minion Pro" w:cs="Times New Roman"/>
          <w:iCs/>
          <w:sz w:val="24"/>
          <w:szCs w:val="24"/>
          <w:lang w:val="en-US"/>
        </w:rPr>
        <w:t>Karīm</w:t>
      </w:r>
      <w:proofErr w:type="spellEnd"/>
      <w:r w:rsidRPr="00C27059">
        <w:rPr>
          <w:rFonts w:ascii="Minion Pro" w:hAnsi="Minion Pro" w:cs="Times New Roman"/>
          <w:iCs/>
          <w:sz w:val="24"/>
          <w:szCs w:val="24"/>
          <w:lang w:val="en-US"/>
        </w:rPr>
        <w:t xml:space="preserve"> a</w:t>
      </w:r>
      <w:r w:rsidRPr="00C27059">
        <w:rPr>
          <w:rFonts w:ascii="Minion Pro" w:hAnsi="Minion Pro" w:cs="Times New Roman"/>
          <w:iCs/>
          <w:sz w:val="24"/>
          <w:szCs w:val="24"/>
        </w:rPr>
        <w:t>l</w:t>
      </w:r>
      <w:r w:rsidRPr="00C27059">
        <w:rPr>
          <w:rFonts w:ascii="Minion Pro" w:hAnsi="Minion Pro" w:cs="Times New Roman"/>
          <w:iCs/>
          <w:sz w:val="24"/>
          <w:szCs w:val="24"/>
          <w:lang w:val="en-US"/>
        </w:rPr>
        <w:t>-</w:t>
      </w:r>
      <w:proofErr w:type="spellStart"/>
      <w:r w:rsidRPr="00C27059">
        <w:rPr>
          <w:rFonts w:ascii="Minion Pro" w:hAnsi="Minion Pro" w:cs="Times New Roman"/>
          <w:iCs/>
          <w:sz w:val="24"/>
          <w:szCs w:val="24"/>
          <w:lang w:val="en-US"/>
        </w:rPr>
        <w:t>Dimyā</w:t>
      </w:r>
      <w:r w:rsidRPr="00C27059">
        <w:rPr>
          <w:rFonts w:ascii="Cambria" w:hAnsi="Cambria" w:cs="Cambria"/>
          <w:iCs/>
          <w:sz w:val="24"/>
          <w:szCs w:val="24"/>
          <w:lang w:val="en-US"/>
        </w:rPr>
        <w:t>ṭ</w:t>
      </w:r>
      <w:r w:rsidRPr="00C27059">
        <w:rPr>
          <w:rFonts w:ascii="Minion Pro" w:hAnsi="Minion Pro" w:cs="Times New Roman"/>
          <w:iCs/>
          <w:sz w:val="24"/>
          <w:szCs w:val="24"/>
          <w:lang w:val="en-US"/>
        </w:rPr>
        <w:t>ī</w:t>
      </w:r>
      <w:proofErr w:type="spellEnd"/>
      <w:r w:rsidRPr="00C27059">
        <w:rPr>
          <w:rFonts w:ascii="Minion Pro" w:hAnsi="Minion Pro" w:cs="Times New Roman"/>
          <w:iCs/>
          <w:sz w:val="24"/>
          <w:szCs w:val="24"/>
          <w:lang w:val="en-US"/>
        </w:rPr>
        <w:t xml:space="preserve">, dan </w:t>
      </w:r>
      <w:r w:rsidRPr="00C27059">
        <w:rPr>
          <w:rFonts w:ascii="Minion Pro" w:hAnsi="Minion Pro" w:cs="Times New Roman"/>
          <w:i/>
          <w:iCs/>
          <w:sz w:val="24"/>
          <w:szCs w:val="24"/>
          <w:lang w:val="en-US"/>
        </w:rPr>
        <w:t>al-</w:t>
      </w:r>
      <w:proofErr w:type="spellStart"/>
      <w:r w:rsidRPr="00C27059">
        <w:rPr>
          <w:rFonts w:ascii="Minion Pro" w:hAnsi="Minion Pro" w:cs="Times New Roman"/>
          <w:i/>
          <w:iCs/>
          <w:sz w:val="24"/>
          <w:szCs w:val="24"/>
          <w:lang w:val="en-US"/>
        </w:rPr>
        <w:t>Fatāwā</w:t>
      </w:r>
      <w:proofErr w:type="spellEnd"/>
      <w:r w:rsidRPr="00C27059">
        <w:rPr>
          <w:rFonts w:ascii="Minion Pro" w:hAnsi="Minion Pro" w:cs="Times New Roman"/>
          <w:i/>
          <w:iCs/>
          <w:sz w:val="24"/>
          <w:szCs w:val="24"/>
          <w:lang w:val="en-US"/>
        </w:rPr>
        <w:t xml:space="preserve"> al-</w:t>
      </w:r>
      <w:proofErr w:type="spellStart"/>
      <w:r w:rsidRPr="00C27059">
        <w:rPr>
          <w:rFonts w:ascii="Minion Pro" w:hAnsi="Minion Pro" w:cs="Times New Roman"/>
          <w:i/>
          <w:iCs/>
          <w:sz w:val="24"/>
          <w:szCs w:val="24"/>
          <w:lang w:val="en-US"/>
        </w:rPr>
        <w:t>Kubrā</w:t>
      </w:r>
      <w:proofErr w:type="spellEnd"/>
      <w:r w:rsidRPr="00C27059">
        <w:rPr>
          <w:rFonts w:ascii="Minion Pro" w:hAnsi="Minion Pro" w:cs="Times New Roman"/>
          <w:i/>
          <w:iCs/>
          <w:sz w:val="24"/>
          <w:szCs w:val="24"/>
          <w:lang w:val="en-US"/>
        </w:rPr>
        <w:t xml:space="preserve"> al-</w:t>
      </w:r>
      <w:proofErr w:type="spellStart"/>
      <w:r w:rsidRPr="00C27059">
        <w:rPr>
          <w:rFonts w:ascii="Minion Pro" w:hAnsi="Minion Pro" w:cs="Times New Roman"/>
          <w:i/>
          <w:iCs/>
          <w:sz w:val="24"/>
          <w:szCs w:val="24"/>
          <w:lang w:val="en-US"/>
        </w:rPr>
        <w:t>Fiqhiyyah</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karya</w:t>
      </w:r>
      <w:proofErr w:type="spellEnd"/>
      <w:r w:rsidRPr="00C27059">
        <w:rPr>
          <w:rFonts w:ascii="Minion Pro" w:hAnsi="Minion Pro" w:cs="Times New Roman"/>
          <w:iCs/>
          <w:sz w:val="24"/>
          <w:szCs w:val="24"/>
          <w:lang w:val="en-US"/>
        </w:rPr>
        <w:t xml:space="preserve"> Ibn </w:t>
      </w:r>
      <w:r w:rsidRPr="00C27059">
        <w:rPr>
          <w:rFonts w:ascii="Minion Pro" w:hAnsi="Minion Pro" w:cs="Times New Roman"/>
          <w:iCs/>
          <w:sz w:val="24"/>
          <w:szCs w:val="24"/>
        </w:rPr>
        <w:t>H</w:t>
      </w:r>
      <w:r w:rsidRPr="00C27059">
        <w:rPr>
          <w:rFonts w:ascii="Minion Pro" w:hAnsi="Minion Pro" w:cs="Times New Roman"/>
          <w:iCs/>
          <w:sz w:val="24"/>
          <w:szCs w:val="24"/>
          <w:lang w:val="en-US"/>
        </w:rPr>
        <w:t>ajar al-</w:t>
      </w:r>
      <w:proofErr w:type="spellStart"/>
      <w:r w:rsidRPr="00C27059">
        <w:rPr>
          <w:rFonts w:ascii="Minion Pro" w:hAnsi="Minion Pro" w:cs="Times New Roman"/>
          <w:iCs/>
          <w:sz w:val="24"/>
          <w:szCs w:val="24"/>
          <w:lang w:val="en-US"/>
        </w:rPr>
        <w:t>Haitamī</w:t>
      </w:r>
      <w:proofErr w:type="spellEnd"/>
      <w:r w:rsidRPr="00C27059">
        <w:rPr>
          <w:rFonts w:ascii="Minion Pro" w:hAnsi="Minion Pro" w:cs="Times New Roman"/>
          <w:iCs/>
          <w:sz w:val="24"/>
          <w:szCs w:val="24"/>
          <w:lang w:val="en-US"/>
        </w:rPr>
        <w:t>.</w:t>
      </w:r>
      <w:r w:rsidRPr="00C27059">
        <w:rPr>
          <w:rFonts w:ascii="Minion Pro" w:hAnsi="Minion Pro" w:cs="Times New Roman"/>
          <w:iCs/>
          <w:sz w:val="24"/>
          <w:szCs w:val="24"/>
          <w:vertAlign w:val="superscript"/>
          <w:lang w:val="en-US"/>
        </w:rPr>
        <w:footnoteReference w:id="33"/>
      </w:r>
    </w:p>
    <w:p w14:paraId="177F4F05" w14:textId="77777777" w:rsidR="00C27059" w:rsidRPr="00C27059" w:rsidRDefault="00C27059" w:rsidP="00C27059">
      <w:pPr>
        <w:spacing w:line="240" w:lineRule="auto"/>
        <w:jc w:val="both"/>
        <w:rPr>
          <w:rFonts w:ascii="Minion Pro" w:hAnsi="Minion Pro" w:cs="Times New Roman"/>
          <w:iCs/>
          <w:sz w:val="24"/>
          <w:szCs w:val="24"/>
          <w:lang w:val="en-US"/>
        </w:rPr>
      </w:pPr>
      <w:r w:rsidRPr="00C27059">
        <w:rPr>
          <w:rFonts w:ascii="Minion Pro" w:hAnsi="Minion Pro" w:cs="Times New Roman"/>
          <w:iCs/>
          <w:sz w:val="24"/>
          <w:szCs w:val="24"/>
          <w:lang w:val="en-US"/>
        </w:rPr>
        <w:t xml:space="preserve">Ada </w:t>
      </w:r>
      <w:proofErr w:type="spellStart"/>
      <w:r w:rsidRPr="00C27059">
        <w:rPr>
          <w:rFonts w:ascii="Minion Pro" w:hAnsi="Minion Pro" w:cs="Times New Roman"/>
          <w:iCs/>
          <w:sz w:val="24"/>
          <w:szCs w:val="24"/>
          <w:lang w:val="en-US"/>
        </w:rPr>
        <w:t>dua</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hal</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penting</w:t>
      </w:r>
      <w:proofErr w:type="spellEnd"/>
      <w:r w:rsidRPr="00C27059">
        <w:rPr>
          <w:rFonts w:ascii="Minion Pro" w:hAnsi="Minion Pro" w:cs="Times New Roman"/>
          <w:iCs/>
          <w:sz w:val="24"/>
          <w:szCs w:val="24"/>
          <w:lang w:val="en-US"/>
        </w:rPr>
        <w:t xml:space="preserve"> yang </w:t>
      </w:r>
      <w:proofErr w:type="spellStart"/>
      <w:r w:rsidRPr="00C27059">
        <w:rPr>
          <w:rFonts w:ascii="Minion Pro" w:hAnsi="Minion Pro" w:cs="Times New Roman"/>
          <w:iCs/>
          <w:sz w:val="24"/>
          <w:szCs w:val="24"/>
          <w:lang w:val="en-US"/>
        </w:rPr>
        <w:t>perlu</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digarisbawahi</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dari</w:t>
      </w:r>
      <w:proofErr w:type="spellEnd"/>
      <w:r w:rsidRPr="00C27059">
        <w:rPr>
          <w:rFonts w:ascii="Minion Pro" w:hAnsi="Minion Pro" w:cs="Times New Roman"/>
          <w:iCs/>
          <w:sz w:val="24"/>
          <w:szCs w:val="24"/>
          <w:lang w:val="en-US"/>
        </w:rPr>
        <w:t xml:space="preserve"> fatwa yang </w:t>
      </w:r>
      <w:proofErr w:type="spellStart"/>
      <w:r w:rsidRPr="00C27059">
        <w:rPr>
          <w:rFonts w:ascii="Minion Pro" w:hAnsi="Minion Pro" w:cs="Times New Roman"/>
          <w:iCs/>
          <w:sz w:val="24"/>
          <w:szCs w:val="24"/>
          <w:lang w:val="en-US"/>
        </w:rPr>
        <w:t>dikeluarkan</w:t>
      </w:r>
      <w:proofErr w:type="spellEnd"/>
      <w:r w:rsidRPr="00C27059">
        <w:rPr>
          <w:rFonts w:ascii="Minion Pro" w:hAnsi="Minion Pro" w:cs="Times New Roman"/>
          <w:iCs/>
          <w:sz w:val="24"/>
          <w:szCs w:val="24"/>
          <w:lang w:val="en-US"/>
        </w:rPr>
        <w:t xml:space="preserve"> pada </w:t>
      </w:r>
      <w:proofErr w:type="spellStart"/>
      <w:r w:rsidRPr="00C27059">
        <w:rPr>
          <w:rFonts w:ascii="Minion Pro" w:hAnsi="Minion Pro" w:cs="Times New Roman"/>
          <w:iCs/>
          <w:sz w:val="24"/>
          <w:szCs w:val="24"/>
          <w:lang w:val="en-US"/>
        </w:rPr>
        <w:t>momen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Muktamar</w:t>
      </w:r>
      <w:proofErr w:type="spellEnd"/>
      <w:r w:rsidRPr="00C27059">
        <w:rPr>
          <w:rFonts w:ascii="Minion Pro" w:hAnsi="Minion Pro" w:cs="Times New Roman"/>
          <w:iCs/>
          <w:sz w:val="24"/>
          <w:szCs w:val="24"/>
          <w:lang w:val="en-US"/>
        </w:rPr>
        <w:t xml:space="preserve"> NU di Surakarta </w:t>
      </w:r>
      <w:proofErr w:type="spellStart"/>
      <w:r w:rsidRPr="00C27059">
        <w:rPr>
          <w:rFonts w:ascii="Minion Pro" w:hAnsi="Minion Pro" w:cs="Times New Roman"/>
          <w:iCs/>
          <w:sz w:val="24"/>
          <w:szCs w:val="24"/>
          <w:lang w:val="en-US"/>
        </w:rPr>
        <w:t>ini</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Pertama</w:t>
      </w:r>
      <w:proofErr w:type="spellEnd"/>
      <w:r w:rsidRPr="00C27059">
        <w:rPr>
          <w:rFonts w:ascii="Minion Pro" w:hAnsi="Minion Pro" w:cs="Times New Roman"/>
          <w:iCs/>
          <w:sz w:val="24"/>
          <w:szCs w:val="24"/>
          <w:lang w:val="en-US"/>
        </w:rPr>
        <w:t xml:space="preserve">, fatwa </w:t>
      </w:r>
      <w:proofErr w:type="spellStart"/>
      <w:r w:rsidRPr="00C27059">
        <w:rPr>
          <w:rFonts w:ascii="Minion Pro" w:hAnsi="Minion Pro" w:cs="Times New Roman"/>
          <w:iCs/>
          <w:sz w:val="24"/>
          <w:szCs w:val="24"/>
          <w:lang w:val="en-US"/>
        </w:rPr>
        <w:t>tersebut</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lahir</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dalam</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konteks</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mulai</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maraknya</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gerakan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perempuan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sejak</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awal</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abad</w:t>
      </w:r>
      <w:proofErr w:type="spellEnd"/>
      <w:r w:rsidRPr="00C27059">
        <w:rPr>
          <w:rFonts w:ascii="Minion Pro" w:hAnsi="Minion Pro" w:cs="Times New Roman"/>
          <w:iCs/>
          <w:sz w:val="24"/>
          <w:szCs w:val="24"/>
          <w:lang w:val="en-US"/>
        </w:rPr>
        <w:t xml:space="preserve"> ke-20. </w:t>
      </w:r>
      <w:proofErr w:type="spellStart"/>
      <w:r w:rsidRPr="00C27059">
        <w:rPr>
          <w:rFonts w:ascii="Minion Pro" w:hAnsi="Minion Pro" w:cs="Times New Roman"/>
          <w:iCs/>
          <w:sz w:val="24"/>
          <w:szCs w:val="24"/>
          <w:lang w:val="en-US"/>
        </w:rPr>
        <w:t>Bermunculan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organisasi-organisasi</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perempuan</w:t>
      </w:r>
      <w:proofErr w:type="spellEnd"/>
      <w:r w:rsidRPr="00C27059">
        <w:rPr>
          <w:rFonts w:ascii="Minion Pro" w:hAnsi="Minion Pro" w:cs="Times New Roman"/>
          <w:iCs/>
          <w:sz w:val="24"/>
          <w:szCs w:val="24"/>
          <w:lang w:val="en-US"/>
        </w:rPr>
        <w:t xml:space="preserve"> di </w:t>
      </w:r>
      <w:proofErr w:type="spellStart"/>
      <w:r w:rsidRPr="00C27059">
        <w:rPr>
          <w:rFonts w:ascii="Minion Pro" w:hAnsi="Minion Pro" w:cs="Times New Roman"/>
          <w:iCs/>
          <w:sz w:val="24"/>
          <w:szCs w:val="24"/>
          <w:lang w:val="en-US"/>
        </w:rPr>
        <w:t>berbagai</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daerah</w:t>
      </w:r>
      <w:proofErr w:type="spellEnd"/>
      <w:r w:rsidRPr="00C27059">
        <w:rPr>
          <w:rFonts w:ascii="Minion Pro" w:hAnsi="Minion Pro" w:cs="Times New Roman"/>
          <w:iCs/>
          <w:sz w:val="24"/>
          <w:szCs w:val="24"/>
          <w:lang w:val="en-US"/>
        </w:rPr>
        <w:t xml:space="preserve"> di Indonesia yang rata-rata </w:t>
      </w:r>
      <w:proofErr w:type="spellStart"/>
      <w:r w:rsidRPr="00C27059">
        <w:rPr>
          <w:rFonts w:ascii="Minion Pro" w:hAnsi="Minion Pro" w:cs="Times New Roman"/>
          <w:iCs/>
          <w:sz w:val="24"/>
          <w:szCs w:val="24"/>
          <w:lang w:val="en-US"/>
        </w:rPr>
        <w:lastRenderedPageBreak/>
        <w:t>terinspirasi</w:t>
      </w:r>
      <w:proofErr w:type="spellEnd"/>
      <w:r w:rsidRPr="00C27059">
        <w:rPr>
          <w:rFonts w:ascii="Minion Pro" w:hAnsi="Minion Pro" w:cs="Times New Roman"/>
          <w:iCs/>
          <w:sz w:val="24"/>
          <w:szCs w:val="24"/>
          <w:lang w:val="en-US"/>
        </w:rPr>
        <w:t xml:space="preserve"> oleh </w:t>
      </w:r>
      <w:proofErr w:type="spellStart"/>
      <w:r w:rsidRPr="00C27059">
        <w:rPr>
          <w:rFonts w:ascii="Minion Pro" w:hAnsi="Minion Pro" w:cs="Times New Roman"/>
          <w:iCs/>
          <w:sz w:val="24"/>
          <w:szCs w:val="24"/>
          <w:lang w:val="en-US"/>
        </w:rPr>
        <w:t>gerakan</w:t>
      </w:r>
      <w:proofErr w:type="spellEnd"/>
      <w:r w:rsidRPr="00C27059">
        <w:rPr>
          <w:rFonts w:ascii="Minion Pro" w:hAnsi="Minion Pro" w:cs="Times New Roman"/>
          <w:iCs/>
          <w:sz w:val="24"/>
          <w:szCs w:val="24"/>
          <w:lang w:val="en-US"/>
        </w:rPr>
        <w:t xml:space="preserve"> Budi </w:t>
      </w:r>
      <w:proofErr w:type="spellStart"/>
      <w:r w:rsidRPr="00C27059">
        <w:rPr>
          <w:rFonts w:ascii="Minion Pro" w:hAnsi="Minion Pro" w:cs="Times New Roman"/>
          <w:iCs/>
          <w:sz w:val="24"/>
          <w:szCs w:val="24"/>
          <w:lang w:val="en-US"/>
        </w:rPr>
        <w:t>Utomo</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sejak</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tahun</w:t>
      </w:r>
      <w:proofErr w:type="spellEnd"/>
      <w:r w:rsidRPr="00C27059">
        <w:rPr>
          <w:rFonts w:ascii="Minion Pro" w:hAnsi="Minion Pro" w:cs="Times New Roman"/>
          <w:iCs/>
          <w:sz w:val="24"/>
          <w:szCs w:val="24"/>
          <w:lang w:val="en-US"/>
        </w:rPr>
        <w:t xml:space="preserve"> 1908.</w:t>
      </w:r>
      <w:r w:rsidRPr="00C27059">
        <w:rPr>
          <w:rFonts w:ascii="Minion Pro" w:hAnsi="Minion Pro" w:cs="Times New Roman"/>
          <w:iCs/>
          <w:sz w:val="24"/>
          <w:szCs w:val="24"/>
          <w:vertAlign w:val="superscript"/>
          <w:lang w:val="en-US"/>
        </w:rPr>
        <w:footnoteReference w:id="34"/>
      </w:r>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Berdirinya</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Muslimat</w:t>
      </w:r>
      <w:proofErr w:type="spellEnd"/>
      <w:r w:rsidRPr="00C27059">
        <w:rPr>
          <w:rFonts w:ascii="Minion Pro" w:hAnsi="Minion Pro" w:cs="Times New Roman"/>
          <w:iCs/>
          <w:sz w:val="24"/>
          <w:szCs w:val="24"/>
          <w:lang w:val="en-US"/>
        </w:rPr>
        <w:t xml:space="preserve"> NU pada </w:t>
      </w:r>
      <w:proofErr w:type="spellStart"/>
      <w:r w:rsidRPr="00C27059">
        <w:rPr>
          <w:rFonts w:ascii="Minion Pro" w:hAnsi="Minion Pro" w:cs="Times New Roman"/>
          <w:iCs/>
          <w:sz w:val="24"/>
          <w:szCs w:val="24"/>
          <w:lang w:val="en-US"/>
        </w:rPr>
        <w:t>momen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Kongres</w:t>
      </w:r>
      <w:proofErr w:type="spellEnd"/>
      <w:r w:rsidRPr="00C27059">
        <w:rPr>
          <w:rFonts w:ascii="Minion Pro" w:hAnsi="Minion Pro" w:cs="Times New Roman"/>
          <w:iCs/>
          <w:sz w:val="24"/>
          <w:szCs w:val="24"/>
          <w:lang w:val="en-US"/>
        </w:rPr>
        <w:t xml:space="preserve"> NU </w:t>
      </w:r>
      <w:proofErr w:type="spellStart"/>
      <w:r w:rsidRPr="00C27059">
        <w:rPr>
          <w:rFonts w:ascii="Minion Pro" w:hAnsi="Minion Pro" w:cs="Times New Roman"/>
          <w:iCs/>
          <w:sz w:val="24"/>
          <w:szCs w:val="24"/>
          <w:lang w:val="en-US"/>
        </w:rPr>
        <w:t>tahun</w:t>
      </w:r>
      <w:proofErr w:type="spellEnd"/>
      <w:r w:rsidRPr="00C27059">
        <w:rPr>
          <w:rFonts w:ascii="Minion Pro" w:hAnsi="Minion Pro" w:cs="Times New Roman"/>
          <w:iCs/>
          <w:sz w:val="24"/>
          <w:szCs w:val="24"/>
          <w:lang w:val="en-US"/>
        </w:rPr>
        <w:t xml:space="preserve"> 1946, </w:t>
      </w:r>
      <w:proofErr w:type="spellStart"/>
      <w:r w:rsidRPr="00C27059">
        <w:rPr>
          <w:rFonts w:ascii="Minion Pro" w:hAnsi="Minion Pro" w:cs="Times New Roman"/>
          <w:iCs/>
          <w:sz w:val="24"/>
          <w:szCs w:val="24"/>
          <w:lang w:val="en-US"/>
        </w:rPr>
        <w:t>selain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berlatar</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konteks</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arus</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gerakan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nasional</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perempuan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ketika</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itu</w:t>
      </w:r>
      <w:proofErr w:type="spellEnd"/>
      <w:r w:rsidRPr="00C27059">
        <w:rPr>
          <w:rFonts w:ascii="Minion Pro" w:hAnsi="Minion Pro" w:cs="Times New Roman"/>
          <w:iCs/>
          <w:sz w:val="24"/>
          <w:szCs w:val="24"/>
          <w:lang w:val="en-US"/>
        </w:rPr>
        <w:t xml:space="preserve">, juga </w:t>
      </w:r>
      <w:proofErr w:type="spellStart"/>
      <w:r w:rsidRPr="00C27059">
        <w:rPr>
          <w:rFonts w:ascii="Minion Pro" w:hAnsi="Minion Pro" w:cs="Times New Roman"/>
          <w:iCs/>
          <w:sz w:val="24"/>
          <w:szCs w:val="24"/>
          <w:lang w:val="en-US"/>
        </w:rPr>
        <w:t>berpijak</w:t>
      </w:r>
      <w:proofErr w:type="spellEnd"/>
      <w:r w:rsidRPr="00C27059">
        <w:rPr>
          <w:rFonts w:ascii="Minion Pro" w:hAnsi="Minion Pro" w:cs="Times New Roman"/>
          <w:iCs/>
          <w:sz w:val="24"/>
          <w:szCs w:val="24"/>
          <w:lang w:val="en-US"/>
        </w:rPr>
        <w:t xml:space="preserve"> pada fatwa </w:t>
      </w:r>
      <w:proofErr w:type="spellStart"/>
      <w:r w:rsidRPr="00C27059">
        <w:rPr>
          <w:rFonts w:ascii="Minion Pro" w:hAnsi="Minion Pro" w:cs="Times New Roman"/>
          <w:iCs/>
          <w:sz w:val="24"/>
          <w:szCs w:val="24"/>
          <w:lang w:val="en-US"/>
        </w:rPr>
        <w:t>hasil</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Bahtsul</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Masail</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edisi</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tahun</w:t>
      </w:r>
      <w:proofErr w:type="spellEnd"/>
      <w:r w:rsidRPr="00C27059">
        <w:rPr>
          <w:rFonts w:ascii="Minion Pro" w:hAnsi="Minion Pro" w:cs="Times New Roman"/>
          <w:iCs/>
          <w:sz w:val="24"/>
          <w:szCs w:val="24"/>
          <w:lang w:val="en-US"/>
        </w:rPr>
        <w:t xml:space="preserve"> 1935 di </w:t>
      </w:r>
      <w:proofErr w:type="spellStart"/>
      <w:r w:rsidRPr="00C27059">
        <w:rPr>
          <w:rFonts w:ascii="Minion Pro" w:hAnsi="Minion Pro" w:cs="Times New Roman"/>
          <w:iCs/>
          <w:sz w:val="24"/>
          <w:szCs w:val="24"/>
          <w:lang w:val="en-US"/>
        </w:rPr>
        <w:t>atas</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Kedua</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meski</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terlihat</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menggunakan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metode</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
          <w:iCs/>
          <w:sz w:val="24"/>
          <w:szCs w:val="24"/>
          <w:lang w:val="en-US"/>
        </w:rPr>
        <w:t>qaulī</w:t>
      </w:r>
      <w:proofErr w:type="spellEnd"/>
      <w:r w:rsidRPr="00C27059">
        <w:rPr>
          <w:rFonts w:ascii="Minion Pro" w:hAnsi="Minion Pro" w:cs="Times New Roman"/>
          <w:iCs/>
          <w:sz w:val="24"/>
          <w:szCs w:val="24"/>
          <w:lang w:val="en-US"/>
        </w:rPr>
        <w:t xml:space="preserve">, fatwa </w:t>
      </w:r>
      <w:proofErr w:type="spellStart"/>
      <w:r w:rsidRPr="00C27059">
        <w:rPr>
          <w:rFonts w:ascii="Minion Pro" w:hAnsi="Minion Pro" w:cs="Times New Roman"/>
          <w:iCs/>
          <w:sz w:val="24"/>
          <w:szCs w:val="24"/>
          <w:lang w:val="en-US"/>
        </w:rPr>
        <w:t>hasil</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Bahtsul</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Masail</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ini</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mengandung</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unsur</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
          <w:iCs/>
          <w:sz w:val="24"/>
          <w:szCs w:val="24"/>
          <w:lang w:val="en-US"/>
        </w:rPr>
        <w:t>manhajī</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Sebab</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dari</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tiga</w:t>
      </w:r>
      <w:proofErr w:type="spellEnd"/>
      <w:r w:rsidRPr="00C27059">
        <w:rPr>
          <w:rFonts w:ascii="Minion Pro" w:hAnsi="Minion Pro" w:cs="Times New Roman"/>
          <w:iCs/>
          <w:sz w:val="24"/>
          <w:szCs w:val="24"/>
          <w:lang w:val="en-US"/>
        </w:rPr>
        <w:t xml:space="preserve"> kitab yang </w:t>
      </w:r>
      <w:proofErr w:type="spellStart"/>
      <w:r w:rsidRPr="00C27059">
        <w:rPr>
          <w:rFonts w:ascii="Minion Pro" w:hAnsi="Minion Pro" w:cs="Times New Roman"/>
          <w:iCs/>
          <w:sz w:val="24"/>
          <w:szCs w:val="24"/>
          <w:lang w:val="en-US"/>
        </w:rPr>
        <w:t>dirujuk</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tidak</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satu</w:t>
      </w:r>
      <w:proofErr w:type="spellEnd"/>
      <w:r w:rsidRPr="00C27059">
        <w:rPr>
          <w:rFonts w:ascii="Minion Pro" w:hAnsi="Minion Pro" w:cs="Times New Roman"/>
          <w:iCs/>
          <w:sz w:val="24"/>
          <w:szCs w:val="24"/>
          <w:lang w:val="en-US"/>
        </w:rPr>
        <w:t xml:space="preserve"> pun yang </w:t>
      </w:r>
      <w:proofErr w:type="spellStart"/>
      <w:r w:rsidRPr="00C27059">
        <w:rPr>
          <w:rFonts w:ascii="Minion Pro" w:hAnsi="Minion Pro" w:cs="Times New Roman"/>
          <w:iCs/>
          <w:sz w:val="24"/>
          <w:szCs w:val="24"/>
          <w:lang w:val="en-US"/>
        </w:rPr>
        <w:t>berbicara</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tentang</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hukum</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perempuan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berbicara</w:t>
      </w:r>
      <w:proofErr w:type="spellEnd"/>
      <w:r w:rsidRPr="00C27059">
        <w:rPr>
          <w:rFonts w:ascii="Minion Pro" w:hAnsi="Minion Pro" w:cs="Times New Roman"/>
          <w:iCs/>
          <w:sz w:val="24"/>
          <w:szCs w:val="24"/>
          <w:lang w:val="en-US"/>
        </w:rPr>
        <w:t xml:space="preserve"> di </w:t>
      </w:r>
      <w:proofErr w:type="spellStart"/>
      <w:r w:rsidRPr="00C27059">
        <w:rPr>
          <w:rFonts w:ascii="Minion Pro" w:hAnsi="Minion Pro" w:cs="Times New Roman"/>
          <w:iCs/>
          <w:sz w:val="24"/>
          <w:szCs w:val="24"/>
          <w:lang w:val="en-US"/>
        </w:rPr>
        <w:t>depan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publik</w:t>
      </w:r>
      <w:proofErr w:type="spellEnd"/>
      <w:r w:rsidRPr="00C27059">
        <w:rPr>
          <w:rFonts w:ascii="Minion Pro" w:hAnsi="Minion Pro" w:cs="Times New Roman"/>
          <w:iCs/>
          <w:sz w:val="24"/>
          <w:szCs w:val="24"/>
          <w:lang w:val="en-US"/>
        </w:rPr>
        <w:t xml:space="preserve">. Kitab </w:t>
      </w:r>
      <w:proofErr w:type="spellStart"/>
      <w:r w:rsidRPr="00C27059">
        <w:rPr>
          <w:rFonts w:ascii="Minion Pro" w:hAnsi="Minion Pro" w:cs="Times New Roman"/>
          <w:i/>
          <w:iCs/>
          <w:sz w:val="24"/>
          <w:szCs w:val="24"/>
          <w:lang w:val="en-US"/>
        </w:rPr>
        <w:t>Itti</w:t>
      </w:r>
      <w:proofErr w:type="spellEnd"/>
      <w:r w:rsidRPr="00C27059">
        <w:rPr>
          <w:rFonts w:ascii="Minion Pro" w:hAnsi="Minion Pro" w:cs="Times New Roman"/>
          <w:i/>
          <w:iCs/>
          <w:sz w:val="24"/>
          <w:szCs w:val="24"/>
        </w:rPr>
        <w:t>h</w:t>
      </w:r>
      <w:proofErr w:type="spellStart"/>
      <w:r w:rsidRPr="00C27059">
        <w:rPr>
          <w:rFonts w:ascii="Minion Pro" w:hAnsi="Minion Pro" w:cs="Times New Roman"/>
          <w:i/>
          <w:iCs/>
          <w:sz w:val="24"/>
          <w:szCs w:val="24"/>
          <w:lang w:val="en-US"/>
        </w:rPr>
        <w:t>āf</w:t>
      </w:r>
      <w:proofErr w:type="spellEnd"/>
      <w:r w:rsidRPr="00C27059">
        <w:rPr>
          <w:rFonts w:ascii="Minion Pro" w:hAnsi="Minion Pro" w:cs="Times New Roman"/>
          <w:i/>
          <w:iCs/>
          <w:sz w:val="24"/>
          <w:szCs w:val="24"/>
          <w:lang w:val="en-US"/>
        </w:rPr>
        <w:t xml:space="preserve"> </w:t>
      </w:r>
      <w:proofErr w:type="spellStart"/>
      <w:r w:rsidRPr="00C27059">
        <w:rPr>
          <w:rFonts w:ascii="Minion Pro" w:hAnsi="Minion Pro" w:cs="Times New Roman"/>
          <w:i/>
          <w:iCs/>
          <w:sz w:val="24"/>
          <w:szCs w:val="24"/>
          <w:lang w:val="en-US"/>
        </w:rPr>
        <w:t>Sādāt</w:t>
      </w:r>
      <w:proofErr w:type="spellEnd"/>
      <w:r w:rsidRPr="00C27059">
        <w:rPr>
          <w:rFonts w:ascii="Minion Pro" w:hAnsi="Minion Pro" w:cs="Times New Roman"/>
          <w:i/>
          <w:iCs/>
          <w:sz w:val="24"/>
          <w:szCs w:val="24"/>
          <w:lang w:val="en-US"/>
        </w:rPr>
        <w:t xml:space="preserve"> al-</w:t>
      </w:r>
      <w:proofErr w:type="spellStart"/>
      <w:r w:rsidRPr="00C27059">
        <w:rPr>
          <w:rFonts w:ascii="Minion Pro" w:hAnsi="Minion Pro" w:cs="Times New Roman"/>
          <w:i/>
          <w:iCs/>
          <w:sz w:val="24"/>
          <w:szCs w:val="24"/>
          <w:lang w:val="en-US"/>
        </w:rPr>
        <w:t>Muttaqīn</w:t>
      </w:r>
      <w:proofErr w:type="spellEnd"/>
      <w:r w:rsidRPr="00C27059">
        <w:rPr>
          <w:rFonts w:ascii="Minion Pro" w:hAnsi="Minion Pro" w:cs="Times New Roman"/>
          <w:iCs/>
          <w:sz w:val="24"/>
          <w:szCs w:val="24"/>
          <w:lang w:val="en-US"/>
        </w:rPr>
        <w:t xml:space="preserve"> dan </w:t>
      </w:r>
      <w:proofErr w:type="spellStart"/>
      <w:r w:rsidRPr="00C27059">
        <w:rPr>
          <w:rFonts w:ascii="Minion Pro" w:hAnsi="Minion Pro" w:cs="Times New Roman"/>
          <w:i/>
          <w:iCs/>
          <w:sz w:val="24"/>
          <w:szCs w:val="24"/>
          <w:lang w:val="en-US"/>
        </w:rPr>
        <w:t>Syar</w:t>
      </w:r>
      <w:proofErr w:type="spellEnd"/>
      <w:r w:rsidRPr="00C27059">
        <w:rPr>
          <w:rFonts w:ascii="Minion Pro" w:hAnsi="Minion Pro" w:cs="Times New Roman"/>
          <w:i/>
          <w:iCs/>
          <w:sz w:val="24"/>
          <w:szCs w:val="24"/>
        </w:rPr>
        <w:t>h</w:t>
      </w:r>
      <w:r w:rsidRPr="00C27059">
        <w:rPr>
          <w:rFonts w:ascii="Minion Pro" w:hAnsi="Minion Pro" w:cs="Times New Roman"/>
          <w:i/>
          <w:iCs/>
          <w:sz w:val="24"/>
          <w:szCs w:val="24"/>
          <w:lang w:val="en-US"/>
        </w:rPr>
        <w:t xml:space="preserve"> </w:t>
      </w:r>
      <w:proofErr w:type="spellStart"/>
      <w:r w:rsidRPr="00C27059">
        <w:rPr>
          <w:rFonts w:ascii="Minion Pro" w:hAnsi="Minion Pro" w:cs="Times New Roman"/>
          <w:i/>
          <w:iCs/>
          <w:sz w:val="24"/>
          <w:szCs w:val="24"/>
          <w:lang w:val="en-US"/>
        </w:rPr>
        <w:t>Sittīn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berbicara</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tentang</w:t>
      </w:r>
      <w:proofErr w:type="spellEnd"/>
      <w:r w:rsidRPr="00C27059">
        <w:rPr>
          <w:rFonts w:ascii="Minion Pro" w:hAnsi="Minion Pro" w:cs="Times New Roman"/>
          <w:iCs/>
          <w:sz w:val="24"/>
          <w:szCs w:val="24"/>
          <w:lang w:val="en-US"/>
        </w:rPr>
        <w:t xml:space="preserve"> status </w:t>
      </w:r>
      <w:proofErr w:type="spellStart"/>
      <w:r w:rsidRPr="00C27059">
        <w:rPr>
          <w:rFonts w:ascii="Minion Pro" w:hAnsi="Minion Pro" w:cs="Times New Roman"/>
          <w:iCs/>
          <w:sz w:val="24"/>
          <w:szCs w:val="24"/>
          <w:lang w:val="en-US"/>
        </w:rPr>
        <w:t>suara</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perempuan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apakah</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termasuk</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aurat</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ataukah</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tidak</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Sementara</w:t>
      </w:r>
      <w:proofErr w:type="spellEnd"/>
      <w:r w:rsidRPr="00C27059">
        <w:rPr>
          <w:rFonts w:ascii="Minion Pro" w:hAnsi="Minion Pro" w:cs="Times New Roman"/>
          <w:iCs/>
          <w:sz w:val="24"/>
          <w:szCs w:val="24"/>
          <w:lang w:val="en-US"/>
        </w:rPr>
        <w:t xml:space="preserve"> kitab </w:t>
      </w:r>
      <w:r w:rsidRPr="00C27059">
        <w:rPr>
          <w:rFonts w:ascii="Minion Pro" w:hAnsi="Minion Pro" w:cs="Times New Roman"/>
          <w:i/>
          <w:iCs/>
          <w:sz w:val="24"/>
          <w:szCs w:val="24"/>
          <w:lang w:val="en-US"/>
        </w:rPr>
        <w:t>al-</w:t>
      </w:r>
      <w:proofErr w:type="spellStart"/>
      <w:r w:rsidRPr="00C27059">
        <w:rPr>
          <w:rFonts w:ascii="Minion Pro" w:hAnsi="Minion Pro" w:cs="Times New Roman"/>
          <w:i/>
          <w:iCs/>
          <w:sz w:val="24"/>
          <w:szCs w:val="24"/>
          <w:lang w:val="en-US"/>
        </w:rPr>
        <w:t>Fatāwā</w:t>
      </w:r>
      <w:proofErr w:type="spellEnd"/>
      <w:r w:rsidRPr="00C27059">
        <w:rPr>
          <w:rFonts w:ascii="Minion Pro" w:hAnsi="Minion Pro" w:cs="Times New Roman"/>
          <w:i/>
          <w:iCs/>
          <w:sz w:val="24"/>
          <w:szCs w:val="24"/>
          <w:lang w:val="en-US"/>
        </w:rPr>
        <w:t xml:space="preserve"> al-</w:t>
      </w:r>
      <w:proofErr w:type="spellStart"/>
      <w:r w:rsidRPr="00C27059">
        <w:rPr>
          <w:rFonts w:ascii="Minion Pro" w:hAnsi="Minion Pro" w:cs="Times New Roman"/>
          <w:i/>
          <w:iCs/>
          <w:sz w:val="24"/>
          <w:szCs w:val="24"/>
          <w:lang w:val="en-US"/>
        </w:rPr>
        <w:t>Kubrā</w:t>
      </w:r>
      <w:proofErr w:type="spellEnd"/>
      <w:r w:rsidRPr="00C27059">
        <w:rPr>
          <w:rFonts w:ascii="Minion Pro" w:hAnsi="Minion Pro" w:cs="Times New Roman"/>
          <w:i/>
          <w:iCs/>
          <w:sz w:val="24"/>
          <w:szCs w:val="24"/>
          <w:lang w:val="en-US"/>
        </w:rPr>
        <w:t xml:space="preserve"> al-</w:t>
      </w:r>
      <w:proofErr w:type="spellStart"/>
      <w:r w:rsidRPr="00C27059">
        <w:rPr>
          <w:rFonts w:ascii="Minion Pro" w:hAnsi="Minion Pro" w:cs="Times New Roman"/>
          <w:i/>
          <w:iCs/>
          <w:sz w:val="24"/>
          <w:szCs w:val="24"/>
          <w:lang w:val="en-US"/>
        </w:rPr>
        <w:t>Fiqhiyyah</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berbicara</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tentang</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kriteria</w:t>
      </w:r>
      <w:proofErr w:type="spellEnd"/>
      <w:r w:rsidRPr="00C27059">
        <w:rPr>
          <w:rFonts w:ascii="Minion Pro" w:hAnsi="Minion Pro" w:cs="Times New Roman"/>
          <w:iCs/>
          <w:sz w:val="24"/>
          <w:szCs w:val="24"/>
          <w:lang w:val="en-US"/>
        </w:rPr>
        <w:t xml:space="preserve"> “fitnah” yang </w:t>
      </w:r>
      <w:proofErr w:type="spellStart"/>
      <w:r w:rsidRPr="00C27059">
        <w:rPr>
          <w:rFonts w:ascii="Minion Pro" w:hAnsi="Minion Pro" w:cs="Times New Roman"/>
          <w:iCs/>
          <w:sz w:val="24"/>
          <w:szCs w:val="24"/>
          <w:lang w:val="en-US"/>
        </w:rPr>
        <w:t>harus</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dijauhi</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dalam</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konteks</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relasi</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laki-laki</w:t>
      </w:r>
      <w:proofErr w:type="spellEnd"/>
      <w:r w:rsidRPr="00C27059">
        <w:rPr>
          <w:rFonts w:ascii="Minion Pro" w:hAnsi="Minion Pro" w:cs="Times New Roman"/>
          <w:iCs/>
          <w:sz w:val="24"/>
          <w:szCs w:val="24"/>
          <w:lang w:val="en-US"/>
        </w:rPr>
        <w:t xml:space="preserve"> dan </w:t>
      </w:r>
      <w:proofErr w:type="spellStart"/>
      <w:r w:rsidRPr="00C27059">
        <w:rPr>
          <w:rFonts w:ascii="Minion Pro" w:hAnsi="Minion Pro" w:cs="Times New Roman"/>
          <w:iCs/>
          <w:sz w:val="24"/>
          <w:szCs w:val="24"/>
          <w:lang w:val="en-US"/>
        </w:rPr>
        <w:t>perempuan</w:t>
      </w:r>
      <w:proofErr w:type="spellEnd"/>
      <w:r w:rsidRPr="00C27059">
        <w:rPr>
          <w:rFonts w:ascii="Minion Pro" w:hAnsi="Minion Pro" w:cs="Times New Roman"/>
          <w:iCs/>
          <w:sz w:val="24"/>
          <w:szCs w:val="24"/>
          <w:lang w:val="en-US"/>
        </w:rPr>
        <w:t>.</w:t>
      </w:r>
      <w:r w:rsidRPr="00C27059">
        <w:rPr>
          <w:rFonts w:ascii="Minion Pro" w:hAnsi="Minion Pro" w:cs="Times New Roman"/>
          <w:iCs/>
          <w:sz w:val="24"/>
          <w:szCs w:val="24"/>
          <w:vertAlign w:val="superscript"/>
          <w:lang w:val="en-US"/>
        </w:rPr>
        <w:footnoteReference w:id="35"/>
      </w:r>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Dengan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demikian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keputusan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ini</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berpijak</w:t>
      </w:r>
      <w:proofErr w:type="spellEnd"/>
      <w:r w:rsidRPr="00C27059">
        <w:rPr>
          <w:rFonts w:ascii="Minion Pro" w:hAnsi="Minion Pro" w:cs="Times New Roman"/>
          <w:iCs/>
          <w:sz w:val="24"/>
          <w:szCs w:val="24"/>
          <w:lang w:val="en-US"/>
        </w:rPr>
        <w:t xml:space="preserve"> di </w:t>
      </w:r>
      <w:proofErr w:type="spellStart"/>
      <w:r w:rsidRPr="00C27059">
        <w:rPr>
          <w:rFonts w:ascii="Minion Pro" w:hAnsi="Minion Pro" w:cs="Times New Roman"/>
          <w:iCs/>
          <w:sz w:val="24"/>
          <w:szCs w:val="24"/>
          <w:lang w:val="en-US"/>
        </w:rPr>
        <w:t>atas</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pertimbangan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kemaslahatan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yaitu</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bahwa</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kaum</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perempuan</w:t>
      </w:r>
      <w:proofErr w:type="spellEnd"/>
      <w:r w:rsidRPr="00C27059">
        <w:rPr>
          <w:rFonts w:ascii="Minion Pro" w:hAnsi="Minion Pro" w:cs="Times New Roman"/>
          <w:iCs/>
          <w:sz w:val="24"/>
          <w:szCs w:val="24"/>
          <w:lang w:val="en-US"/>
        </w:rPr>
        <w:t xml:space="preserve"> NU </w:t>
      </w:r>
      <w:proofErr w:type="spellStart"/>
      <w:r w:rsidRPr="00C27059">
        <w:rPr>
          <w:rFonts w:ascii="Minion Pro" w:hAnsi="Minion Pro" w:cs="Times New Roman"/>
          <w:iCs/>
          <w:sz w:val="24"/>
          <w:szCs w:val="24"/>
          <w:lang w:val="en-US"/>
        </w:rPr>
        <w:t>perlu</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diberi</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peluang</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untuk</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berperan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dalam</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gerakan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nasional</w:t>
      </w:r>
      <w:proofErr w:type="spellEnd"/>
      <w:r w:rsidRPr="00C27059">
        <w:rPr>
          <w:rFonts w:ascii="Minion Pro" w:hAnsi="Minion Pro" w:cs="Times New Roman"/>
          <w:iCs/>
          <w:sz w:val="24"/>
          <w:szCs w:val="24"/>
          <w:lang w:val="en-US"/>
        </w:rPr>
        <w:t>.</w:t>
      </w:r>
    </w:p>
    <w:p w14:paraId="0A071FB4" w14:textId="77777777" w:rsidR="00C27059" w:rsidRPr="00C27059" w:rsidRDefault="00C27059" w:rsidP="00C27059">
      <w:pPr>
        <w:spacing w:line="240" w:lineRule="auto"/>
        <w:jc w:val="both"/>
        <w:rPr>
          <w:rFonts w:ascii="Minion Pro" w:hAnsi="Minion Pro" w:cs="Times New Roman"/>
          <w:iCs/>
          <w:sz w:val="24"/>
          <w:szCs w:val="24"/>
          <w:lang w:val="en-US"/>
        </w:rPr>
      </w:pPr>
      <w:proofErr w:type="spellStart"/>
      <w:r w:rsidRPr="00C27059">
        <w:rPr>
          <w:rFonts w:ascii="Minion Pro" w:hAnsi="Minion Pro" w:cs="Times New Roman"/>
          <w:iCs/>
          <w:sz w:val="24"/>
          <w:szCs w:val="24"/>
          <w:lang w:val="en-US"/>
        </w:rPr>
        <w:t>Pertimbangan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kemaslahatan</w:t>
      </w:r>
      <w:proofErr w:type="spellEnd"/>
      <w:r w:rsidRPr="00C27059">
        <w:rPr>
          <w:rFonts w:ascii="Minion Pro" w:hAnsi="Minion Pro" w:cs="Times New Roman"/>
          <w:iCs/>
          <w:sz w:val="24"/>
          <w:szCs w:val="24"/>
          <w:lang w:val="en-US"/>
        </w:rPr>
        <w:t xml:space="preserve"> juga </w:t>
      </w:r>
      <w:proofErr w:type="spellStart"/>
      <w:r w:rsidRPr="00C27059">
        <w:rPr>
          <w:rFonts w:ascii="Minion Pro" w:hAnsi="Minion Pro" w:cs="Times New Roman"/>
          <w:iCs/>
          <w:sz w:val="24"/>
          <w:szCs w:val="24"/>
          <w:lang w:val="en-US"/>
        </w:rPr>
        <w:t>terlihat</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jelas</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ketika</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Bahtsul</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Masail</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edisi</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tahun</w:t>
      </w:r>
      <w:proofErr w:type="spellEnd"/>
      <w:r w:rsidRPr="00C27059">
        <w:rPr>
          <w:rFonts w:ascii="Minion Pro" w:hAnsi="Minion Pro" w:cs="Times New Roman"/>
          <w:iCs/>
          <w:sz w:val="24"/>
          <w:szCs w:val="24"/>
          <w:lang w:val="en-US"/>
        </w:rPr>
        <w:t xml:space="preserve"> 1946 </w:t>
      </w:r>
      <w:proofErr w:type="spellStart"/>
      <w:r w:rsidRPr="00C27059">
        <w:rPr>
          <w:rFonts w:ascii="Minion Pro" w:hAnsi="Minion Pro" w:cs="Times New Roman"/>
          <w:iCs/>
          <w:sz w:val="24"/>
          <w:szCs w:val="24"/>
          <w:lang w:val="en-US"/>
        </w:rPr>
        <w:t>membahas</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hukum</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perempuan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berpakaian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seragam</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tentara</w:t>
      </w:r>
      <w:proofErr w:type="spellEnd"/>
      <w:r w:rsidRPr="00C27059">
        <w:rPr>
          <w:rFonts w:ascii="Minion Pro" w:hAnsi="Minion Pro" w:cs="Times New Roman"/>
          <w:iCs/>
          <w:sz w:val="24"/>
          <w:szCs w:val="24"/>
          <w:lang w:val="en-US"/>
        </w:rPr>
        <w:t xml:space="preserve">. Fatwa yang </w:t>
      </w:r>
      <w:proofErr w:type="spellStart"/>
      <w:r w:rsidRPr="00C27059">
        <w:rPr>
          <w:rFonts w:ascii="Minion Pro" w:hAnsi="Minion Pro" w:cs="Times New Roman"/>
          <w:iCs/>
          <w:sz w:val="24"/>
          <w:szCs w:val="24"/>
          <w:lang w:val="en-US"/>
        </w:rPr>
        <w:t>diputuskan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waktu</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itu</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adalah</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bahwa</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hal</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itu</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diperbolehkan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bahkan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merupakan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keharusan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seiring</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dengan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adanya</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kewajiban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perempuan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untuk</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ikut</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serta</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dalam</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perang</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kemerdekaan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Syaratnya</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hanya</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satu</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yakni</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menutup</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aurat</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Rujukannya</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adalah</w:t>
      </w:r>
      <w:proofErr w:type="spellEnd"/>
      <w:r w:rsidRPr="00C27059">
        <w:rPr>
          <w:rFonts w:ascii="Minion Pro" w:hAnsi="Minion Pro" w:cs="Times New Roman"/>
          <w:iCs/>
          <w:sz w:val="24"/>
          <w:szCs w:val="24"/>
          <w:lang w:val="en-US"/>
        </w:rPr>
        <w:t xml:space="preserve"> kitab </w:t>
      </w:r>
      <w:r w:rsidRPr="00C27059">
        <w:rPr>
          <w:rFonts w:ascii="Minion Pro" w:hAnsi="Minion Pro" w:cs="Times New Roman"/>
          <w:i/>
          <w:iCs/>
          <w:sz w:val="24"/>
          <w:szCs w:val="24"/>
          <w:lang w:val="en-US"/>
        </w:rPr>
        <w:t>Fat</w:t>
      </w:r>
      <w:r w:rsidRPr="00C27059">
        <w:rPr>
          <w:rFonts w:ascii="Minion Pro" w:hAnsi="Minion Pro" w:cs="Times New Roman"/>
          <w:i/>
          <w:iCs/>
          <w:sz w:val="24"/>
          <w:szCs w:val="24"/>
        </w:rPr>
        <w:t>h</w:t>
      </w:r>
      <w:r w:rsidRPr="00C27059">
        <w:rPr>
          <w:rFonts w:ascii="Minion Pro" w:hAnsi="Minion Pro" w:cs="Times New Roman"/>
          <w:i/>
          <w:iCs/>
          <w:sz w:val="24"/>
          <w:szCs w:val="24"/>
          <w:lang w:val="en-US"/>
        </w:rPr>
        <w:t xml:space="preserve"> al-</w:t>
      </w:r>
      <w:proofErr w:type="spellStart"/>
      <w:proofErr w:type="gramStart"/>
      <w:r w:rsidRPr="00C27059">
        <w:rPr>
          <w:rFonts w:ascii="Minion Pro" w:hAnsi="Minion Pro" w:cs="Times New Roman"/>
          <w:i/>
          <w:iCs/>
          <w:sz w:val="24"/>
          <w:szCs w:val="24"/>
          <w:lang w:val="en-US"/>
        </w:rPr>
        <w:t>Mu‘</w:t>
      </w:r>
      <w:proofErr w:type="gramEnd"/>
      <w:r w:rsidRPr="00C27059">
        <w:rPr>
          <w:rFonts w:ascii="Minion Pro" w:hAnsi="Minion Pro" w:cs="Times New Roman"/>
          <w:i/>
          <w:iCs/>
          <w:sz w:val="24"/>
          <w:szCs w:val="24"/>
          <w:lang w:val="en-US"/>
        </w:rPr>
        <w:t>in</w:t>
      </w:r>
      <w:proofErr w:type="spellEnd"/>
      <w:r w:rsidRPr="00C27059">
        <w:rPr>
          <w:rFonts w:ascii="Minion Pro" w:hAnsi="Minion Pro" w:cs="Times New Roman"/>
          <w:i/>
          <w:iCs/>
          <w:sz w:val="24"/>
          <w:szCs w:val="24"/>
          <w:lang w:val="en-US"/>
        </w:rPr>
        <w:t xml:space="preserve"> </w:t>
      </w:r>
      <w:proofErr w:type="spellStart"/>
      <w:r w:rsidRPr="00C27059">
        <w:rPr>
          <w:rFonts w:ascii="Minion Pro" w:hAnsi="Minion Pro" w:cs="Times New Roman"/>
          <w:iCs/>
          <w:sz w:val="24"/>
          <w:szCs w:val="24"/>
          <w:lang w:val="en-US"/>
        </w:rPr>
        <w:t>karya</w:t>
      </w:r>
      <w:proofErr w:type="spellEnd"/>
      <w:r w:rsidRPr="00C27059">
        <w:rPr>
          <w:rFonts w:ascii="Minion Pro" w:hAnsi="Minion Pro" w:cs="Times New Roman"/>
          <w:iCs/>
          <w:sz w:val="24"/>
          <w:szCs w:val="24"/>
          <w:lang w:val="en-US"/>
        </w:rPr>
        <w:t xml:space="preserve"> Zain a</w:t>
      </w:r>
      <w:r w:rsidRPr="00C27059">
        <w:rPr>
          <w:rFonts w:ascii="Minion Pro" w:hAnsi="Minion Pro" w:cs="Times New Roman"/>
          <w:iCs/>
          <w:sz w:val="24"/>
          <w:szCs w:val="24"/>
        </w:rPr>
        <w:t>l</w:t>
      </w:r>
      <w:r w:rsidRPr="00C27059">
        <w:rPr>
          <w:rFonts w:ascii="Minion Pro" w:hAnsi="Minion Pro" w:cs="Times New Roman"/>
          <w:iCs/>
          <w:sz w:val="24"/>
          <w:szCs w:val="24"/>
          <w:lang w:val="en-US"/>
        </w:rPr>
        <w:t>-</w:t>
      </w:r>
      <w:proofErr w:type="spellStart"/>
      <w:r w:rsidRPr="00C27059">
        <w:rPr>
          <w:rFonts w:ascii="Minion Pro" w:hAnsi="Minion Pro" w:cs="Times New Roman"/>
          <w:iCs/>
          <w:sz w:val="24"/>
          <w:szCs w:val="24"/>
          <w:lang w:val="en-US"/>
        </w:rPr>
        <w:t>Dīn</w:t>
      </w:r>
      <w:proofErr w:type="spellEnd"/>
      <w:r w:rsidRPr="00C27059">
        <w:rPr>
          <w:rFonts w:ascii="Minion Pro" w:hAnsi="Minion Pro" w:cs="Times New Roman"/>
          <w:iCs/>
          <w:sz w:val="24"/>
          <w:szCs w:val="24"/>
          <w:lang w:val="en-US"/>
        </w:rPr>
        <w:t xml:space="preserve"> al-</w:t>
      </w:r>
      <w:proofErr w:type="spellStart"/>
      <w:r w:rsidRPr="00C27059">
        <w:rPr>
          <w:rFonts w:ascii="Minion Pro" w:hAnsi="Minion Pro" w:cs="Times New Roman"/>
          <w:iCs/>
          <w:sz w:val="24"/>
          <w:szCs w:val="24"/>
          <w:lang w:val="en-US"/>
        </w:rPr>
        <w:t>Malībārī</w:t>
      </w:r>
      <w:proofErr w:type="spellEnd"/>
      <w:r w:rsidRPr="00C27059">
        <w:rPr>
          <w:rFonts w:ascii="Minion Pro" w:hAnsi="Minion Pro" w:cs="Times New Roman"/>
          <w:iCs/>
          <w:sz w:val="24"/>
          <w:szCs w:val="24"/>
          <w:lang w:val="en-US"/>
        </w:rPr>
        <w:t xml:space="preserve"> (w. 1579) dan kitab </w:t>
      </w:r>
      <w:proofErr w:type="spellStart"/>
      <w:r w:rsidRPr="00C27059">
        <w:rPr>
          <w:rFonts w:ascii="Minion Pro" w:hAnsi="Minion Pro" w:cs="Times New Roman"/>
          <w:i/>
          <w:iCs/>
          <w:sz w:val="24"/>
          <w:szCs w:val="24"/>
          <w:lang w:val="en-US"/>
        </w:rPr>
        <w:t>I‘ānah</w:t>
      </w:r>
      <w:proofErr w:type="spellEnd"/>
      <w:r w:rsidRPr="00C27059">
        <w:rPr>
          <w:rFonts w:ascii="Minion Pro" w:hAnsi="Minion Pro" w:cs="Times New Roman"/>
          <w:i/>
          <w:iCs/>
          <w:sz w:val="24"/>
          <w:szCs w:val="24"/>
          <w:lang w:val="en-US"/>
        </w:rPr>
        <w:t xml:space="preserve"> a</w:t>
      </w:r>
      <w:r w:rsidRPr="00C27059">
        <w:rPr>
          <w:rFonts w:ascii="Minion Pro" w:hAnsi="Minion Pro" w:cs="Times New Roman"/>
          <w:i/>
          <w:iCs/>
          <w:sz w:val="24"/>
          <w:szCs w:val="24"/>
        </w:rPr>
        <w:t>l</w:t>
      </w:r>
      <w:r w:rsidRPr="00C27059">
        <w:rPr>
          <w:rFonts w:ascii="Minion Pro" w:hAnsi="Minion Pro" w:cs="Times New Roman"/>
          <w:i/>
          <w:iCs/>
          <w:sz w:val="24"/>
          <w:szCs w:val="24"/>
          <w:lang w:val="en-US"/>
        </w:rPr>
        <w:t>-</w:t>
      </w:r>
      <w:r w:rsidRPr="00C27059">
        <w:rPr>
          <w:rFonts w:ascii="Minion Pro" w:hAnsi="Minion Pro" w:cs="Times New Roman"/>
          <w:i/>
          <w:iCs/>
          <w:sz w:val="24"/>
          <w:szCs w:val="24"/>
        </w:rPr>
        <w:t>Th</w:t>
      </w:r>
      <w:proofErr w:type="spellStart"/>
      <w:r w:rsidRPr="00C27059">
        <w:rPr>
          <w:rFonts w:ascii="Minion Pro" w:hAnsi="Minion Pro" w:cs="Times New Roman"/>
          <w:i/>
          <w:iCs/>
          <w:sz w:val="24"/>
          <w:szCs w:val="24"/>
          <w:lang w:val="en-US"/>
        </w:rPr>
        <w:t>ālibīn</w:t>
      </w:r>
      <w:proofErr w:type="spellEnd"/>
      <w:r w:rsidRPr="00C27059">
        <w:rPr>
          <w:rFonts w:ascii="Minion Pro" w:hAnsi="Minion Pro" w:cs="Times New Roman"/>
          <w:iCs/>
          <w:sz w:val="24"/>
          <w:szCs w:val="24"/>
          <w:lang w:val="en-US"/>
        </w:rPr>
        <w:t xml:space="preserve"> yang </w:t>
      </w:r>
      <w:proofErr w:type="spellStart"/>
      <w:r w:rsidRPr="00C27059">
        <w:rPr>
          <w:rFonts w:ascii="Minion Pro" w:hAnsi="Minion Pro" w:cs="Times New Roman"/>
          <w:iCs/>
          <w:sz w:val="24"/>
          <w:szCs w:val="24"/>
          <w:lang w:val="en-US"/>
        </w:rPr>
        <w:t>sama-sama</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tidak</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menyinggung</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busana</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tentara</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perempuan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Kedua</w:t>
      </w:r>
      <w:proofErr w:type="spellEnd"/>
      <w:r w:rsidRPr="00C27059">
        <w:rPr>
          <w:rFonts w:ascii="Minion Pro" w:hAnsi="Minion Pro" w:cs="Times New Roman"/>
          <w:iCs/>
          <w:sz w:val="24"/>
          <w:szCs w:val="24"/>
          <w:lang w:val="en-US"/>
        </w:rPr>
        <w:t xml:space="preserve"> kitab </w:t>
      </w:r>
      <w:proofErr w:type="spellStart"/>
      <w:r w:rsidRPr="00C27059">
        <w:rPr>
          <w:rFonts w:ascii="Minion Pro" w:hAnsi="Minion Pro" w:cs="Times New Roman"/>
          <w:iCs/>
          <w:sz w:val="24"/>
          <w:szCs w:val="24"/>
          <w:lang w:val="en-US"/>
        </w:rPr>
        <w:t>tersebut</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hanya</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menjelaskan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kebolehan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perempuan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berperang</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tanpa</w:t>
      </w:r>
      <w:proofErr w:type="spellEnd"/>
      <w:r w:rsidRPr="00C27059">
        <w:rPr>
          <w:rFonts w:ascii="Minion Pro" w:hAnsi="Minion Pro" w:cs="Times New Roman"/>
          <w:iCs/>
          <w:sz w:val="24"/>
          <w:szCs w:val="24"/>
          <w:lang w:val="en-US"/>
        </w:rPr>
        <w:t xml:space="preserve"> seizin </w:t>
      </w:r>
      <w:proofErr w:type="spellStart"/>
      <w:r w:rsidRPr="00C27059">
        <w:rPr>
          <w:rFonts w:ascii="Minion Pro" w:hAnsi="Minion Pro" w:cs="Times New Roman"/>
          <w:iCs/>
          <w:sz w:val="24"/>
          <w:szCs w:val="24"/>
          <w:lang w:val="en-US"/>
        </w:rPr>
        <w:t>keluarganya</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dalam</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kondisi</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genting</w:t>
      </w:r>
      <w:proofErr w:type="spellEnd"/>
      <w:r w:rsidRPr="00C27059">
        <w:rPr>
          <w:rFonts w:ascii="Minion Pro" w:hAnsi="Minion Pro" w:cs="Times New Roman"/>
          <w:iCs/>
          <w:sz w:val="24"/>
          <w:szCs w:val="24"/>
          <w:lang w:val="en-US"/>
        </w:rPr>
        <w:t>.</w:t>
      </w:r>
      <w:r w:rsidRPr="00C27059">
        <w:rPr>
          <w:rFonts w:ascii="Minion Pro" w:hAnsi="Minion Pro" w:cs="Times New Roman"/>
          <w:iCs/>
          <w:sz w:val="24"/>
          <w:szCs w:val="24"/>
          <w:vertAlign w:val="superscript"/>
          <w:lang w:val="en-US"/>
        </w:rPr>
        <w:footnoteReference w:id="36"/>
      </w:r>
      <w:r w:rsidRPr="00C27059">
        <w:rPr>
          <w:rFonts w:ascii="Minion Pro" w:hAnsi="Minion Pro" w:cs="Times New Roman"/>
          <w:iCs/>
          <w:sz w:val="24"/>
          <w:szCs w:val="24"/>
          <w:lang w:val="en-US"/>
        </w:rPr>
        <w:t xml:space="preserve"> Fatwa </w:t>
      </w:r>
      <w:proofErr w:type="spellStart"/>
      <w:r w:rsidRPr="00C27059">
        <w:rPr>
          <w:rFonts w:ascii="Minion Pro" w:hAnsi="Minion Pro" w:cs="Times New Roman"/>
          <w:iCs/>
          <w:sz w:val="24"/>
          <w:szCs w:val="24"/>
          <w:lang w:val="en-US"/>
        </w:rPr>
        <w:t>ini</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selaras</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dengan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fakta</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peran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aktif</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kaum</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perempuan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dalam</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revolusi</w:t>
      </w:r>
      <w:proofErr w:type="spellEnd"/>
      <w:r w:rsidRPr="00C27059">
        <w:rPr>
          <w:rFonts w:ascii="Minion Pro" w:hAnsi="Minion Pro" w:cs="Times New Roman"/>
          <w:iCs/>
          <w:sz w:val="24"/>
          <w:szCs w:val="24"/>
          <w:lang w:val="en-US"/>
        </w:rPr>
        <w:t xml:space="preserve"> 1945. </w:t>
      </w:r>
      <w:proofErr w:type="spellStart"/>
      <w:r w:rsidRPr="00C27059">
        <w:rPr>
          <w:rFonts w:ascii="Minion Pro" w:hAnsi="Minion Pro" w:cs="Times New Roman"/>
          <w:iCs/>
          <w:sz w:val="24"/>
          <w:szCs w:val="24"/>
          <w:lang w:val="en-US"/>
        </w:rPr>
        <w:t>Mereka</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tidak</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hanya</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berjuang</w:t>
      </w:r>
      <w:proofErr w:type="spellEnd"/>
      <w:r w:rsidRPr="00C27059">
        <w:rPr>
          <w:rFonts w:ascii="Minion Pro" w:hAnsi="Minion Pro" w:cs="Times New Roman"/>
          <w:iCs/>
          <w:sz w:val="24"/>
          <w:szCs w:val="24"/>
          <w:lang w:val="en-US"/>
        </w:rPr>
        <w:t xml:space="preserve"> di garis </w:t>
      </w:r>
      <w:proofErr w:type="spellStart"/>
      <w:r w:rsidRPr="00C27059">
        <w:rPr>
          <w:rFonts w:ascii="Minion Pro" w:hAnsi="Minion Pro" w:cs="Times New Roman"/>
          <w:iCs/>
          <w:sz w:val="24"/>
          <w:szCs w:val="24"/>
          <w:lang w:val="en-US"/>
        </w:rPr>
        <w:t>belakang</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melalui</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dapur</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umum</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tetapi</w:t>
      </w:r>
      <w:proofErr w:type="spellEnd"/>
      <w:r w:rsidRPr="00C27059">
        <w:rPr>
          <w:rFonts w:ascii="Minion Pro" w:hAnsi="Minion Pro" w:cs="Times New Roman"/>
          <w:iCs/>
          <w:sz w:val="24"/>
          <w:szCs w:val="24"/>
          <w:lang w:val="en-US"/>
        </w:rPr>
        <w:t xml:space="preserve"> juga </w:t>
      </w:r>
      <w:proofErr w:type="spellStart"/>
      <w:r w:rsidRPr="00C27059">
        <w:rPr>
          <w:rFonts w:ascii="Minion Pro" w:hAnsi="Minion Pro" w:cs="Times New Roman"/>
          <w:iCs/>
          <w:sz w:val="24"/>
          <w:szCs w:val="24"/>
          <w:lang w:val="en-US"/>
        </w:rPr>
        <w:t>ikut</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terjun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langsung</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ke</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medan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per</w:t>
      </w:r>
      <w:r w:rsidRPr="00C27059">
        <w:rPr>
          <w:rFonts w:ascii="Minion Pro" w:hAnsi="Minion Pro" w:cs="Times New Roman"/>
          <w:iCs/>
          <w:sz w:val="24"/>
          <w:szCs w:val="24"/>
          <w:lang w:val="en-US"/>
        </w:rPr>
        <w:lastRenderedPageBreak/>
        <w:t>tempuran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Itulah</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sebabnya</w:t>
      </w:r>
      <w:proofErr w:type="spellEnd"/>
      <w:r w:rsidRPr="00C27059">
        <w:rPr>
          <w:rFonts w:ascii="Minion Pro" w:hAnsi="Minion Pro" w:cs="Times New Roman"/>
          <w:iCs/>
          <w:sz w:val="24"/>
          <w:szCs w:val="24"/>
          <w:lang w:val="en-US"/>
        </w:rPr>
        <w:t xml:space="preserve">, di </w:t>
      </w:r>
      <w:proofErr w:type="spellStart"/>
      <w:r w:rsidRPr="00C27059">
        <w:rPr>
          <w:rFonts w:ascii="Minion Pro" w:hAnsi="Minion Pro" w:cs="Times New Roman"/>
          <w:iCs/>
          <w:sz w:val="24"/>
          <w:szCs w:val="24"/>
          <w:lang w:val="en-US"/>
        </w:rPr>
        <w:t>berbagai</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daerah</w:t>
      </w:r>
      <w:proofErr w:type="spellEnd"/>
      <w:r w:rsidRPr="00C27059">
        <w:rPr>
          <w:rFonts w:ascii="Minion Pro" w:hAnsi="Minion Pro" w:cs="Times New Roman"/>
          <w:iCs/>
          <w:sz w:val="24"/>
          <w:szCs w:val="24"/>
          <w:lang w:val="en-US"/>
        </w:rPr>
        <w:t xml:space="preserve"> di Indonesia </w:t>
      </w:r>
      <w:proofErr w:type="spellStart"/>
      <w:r w:rsidRPr="00C27059">
        <w:rPr>
          <w:rFonts w:ascii="Minion Pro" w:hAnsi="Minion Pro" w:cs="Times New Roman"/>
          <w:iCs/>
          <w:sz w:val="24"/>
          <w:szCs w:val="24"/>
          <w:lang w:val="en-US"/>
        </w:rPr>
        <w:t>saat</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itu</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dibentuk</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laskar-laskar</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putri</w:t>
      </w:r>
      <w:proofErr w:type="spellEnd"/>
      <w:r w:rsidRPr="00C27059">
        <w:rPr>
          <w:rFonts w:ascii="Minion Pro" w:hAnsi="Minion Pro" w:cs="Times New Roman"/>
          <w:iCs/>
          <w:sz w:val="24"/>
          <w:szCs w:val="24"/>
          <w:lang w:val="en-US"/>
        </w:rPr>
        <w:t xml:space="preserve"> dan badan-badan </w:t>
      </w:r>
      <w:proofErr w:type="spellStart"/>
      <w:r w:rsidRPr="00C27059">
        <w:rPr>
          <w:rFonts w:ascii="Minion Pro" w:hAnsi="Minion Pro" w:cs="Times New Roman"/>
          <w:iCs/>
          <w:sz w:val="24"/>
          <w:szCs w:val="24"/>
          <w:lang w:val="en-US"/>
        </w:rPr>
        <w:t>perjuangan</w:t>
      </w:r>
      <w:proofErr w:type="spellEnd"/>
      <w:r w:rsidRPr="00C27059">
        <w:rPr>
          <w:rFonts w:ascii="Minion Pro" w:hAnsi="Minion Pro" w:cs="Times New Roman"/>
          <w:iCs/>
          <w:sz w:val="24"/>
          <w:szCs w:val="24"/>
          <w:lang w:val="en-US"/>
        </w:rPr>
        <w:t>.</w:t>
      </w:r>
      <w:r w:rsidRPr="00C27059">
        <w:rPr>
          <w:rFonts w:ascii="Minion Pro" w:hAnsi="Minion Pro" w:cs="Times New Roman"/>
          <w:iCs/>
          <w:sz w:val="24"/>
          <w:szCs w:val="24"/>
          <w:vertAlign w:val="superscript"/>
          <w:lang w:val="en-US"/>
        </w:rPr>
        <w:footnoteReference w:id="37"/>
      </w:r>
    </w:p>
    <w:p w14:paraId="4E57E84C" w14:textId="77777777" w:rsidR="00C27059" w:rsidRPr="00C27059" w:rsidRDefault="00C27059" w:rsidP="00C27059">
      <w:pPr>
        <w:spacing w:line="240" w:lineRule="auto"/>
        <w:jc w:val="both"/>
        <w:rPr>
          <w:rFonts w:ascii="Minion Pro" w:hAnsi="Minion Pro" w:cs="Times New Roman"/>
          <w:iCs/>
          <w:sz w:val="24"/>
          <w:szCs w:val="24"/>
          <w:lang w:val="en-US"/>
        </w:rPr>
      </w:pPr>
      <w:proofErr w:type="spellStart"/>
      <w:r w:rsidRPr="00C27059">
        <w:rPr>
          <w:rFonts w:ascii="Minion Pro" w:hAnsi="Minion Pro" w:cs="Times New Roman"/>
          <w:iCs/>
          <w:sz w:val="24"/>
          <w:szCs w:val="24"/>
          <w:lang w:val="en-US"/>
        </w:rPr>
        <w:t>Pascaperang</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kemerdekaan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peran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kaum</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perempuan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dalam</w:t>
      </w:r>
      <w:proofErr w:type="spellEnd"/>
      <w:r w:rsidRPr="00C27059">
        <w:rPr>
          <w:rFonts w:ascii="Minion Pro" w:hAnsi="Minion Pro" w:cs="Times New Roman"/>
          <w:iCs/>
          <w:sz w:val="24"/>
          <w:szCs w:val="24"/>
          <w:lang w:val="en-US"/>
        </w:rPr>
        <w:t xml:space="preserve"> di </w:t>
      </w:r>
      <w:proofErr w:type="spellStart"/>
      <w:r w:rsidRPr="00C27059">
        <w:rPr>
          <w:rFonts w:ascii="Minion Pro" w:hAnsi="Minion Pro" w:cs="Times New Roman"/>
          <w:iCs/>
          <w:sz w:val="24"/>
          <w:szCs w:val="24"/>
          <w:lang w:val="en-US"/>
        </w:rPr>
        <w:t>publik</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semakin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berkembang</w:t>
      </w:r>
      <w:proofErr w:type="spellEnd"/>
      <w:r w:rsidRPr="00C27059">
        <w:rPr>
          <w:rFonts w:ascii="Minion Pro" w:hAnsi="Minion Pro" w:cs="Times New Roman"/>
          <w:iCs/>
          <w:sz w:val="24"/>
          <w:szCs w:val="24"/>
          <w:lang w:val="en-US"/>
        </w:rPr>
        <w:t xml:space="preserve">. Hal </w:t>
      </w:r>
      <w:proofErr w:type="spellStart"/>
      <w:r w:rsidRPr="00C27059">
        <w:rPr>
          <w:rFonts w:ascii="Minion Pro" w:hAnsi="Minion Pro" w:cs="Times New Roman"/>
          <w:iCs/>
          <w:sz w:val="24"/>
          <w:szCs w:val="24"/>
          <w:lang w:val="en-US"/>
        </w:rPr>
        <w:t>ini</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terlihat</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dari</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keberhasilan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sejumlah</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tokoh</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perempuan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berkiprah</w:t>
      </w:r>
      <w:proofErr w:type="spellEnd"/>
      <w:r w:rsidRPr="00C27059">
        <w:rPr>
          <w:rFonts w:ascii="Minion Pro" w:hAnsi="Minion Pro" w:cs="Times New Roman"/>
          <w:iCs/>
          <w:sz w:val="24"/>
          <w:szCs w:val="24"/>
          <w:lang w:val="en-US"/>
        </w:rPr>
        <w:t xml:space="preserve"> di </w:t>
      </w:r>
      <w:proofErr w:type="spellStart"/>
      <w:r w:rsidRPr="00C27059">
        <w:rPr>
          <w:rFonts w:ascii="Minion Pro" w:hAnsi="Minion Pro" w:cs="Times New Roman"/>
          <w:iCs/>
          <w:sz w:val="24"/>
          <w:szCs w:val="24"/>
          <w:lang w:val="en-US"/>
        </w:rPr>
        <w:t>lembaga-lembaga</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tinggi</w:t>
      </w:r>
      <w:proofErr w:type="spellEnd"/>
      <w:r w:rsidRPr="00C27059">
        <w:rPr>
          <w:rFonts w:ascii="Minion Pro" w:hAnsi="Minion Pro" w:cs="Times New Roman"/>
          <w:iCs/>
          <w:sz w:val="24"/>
          <w:szCs w:val="24"/>
          <w:lang w:val="en-US"/>
        </w:rPr>
        <w:t xml:space="preserve"> negara, </w:t>
      </w:r>
      <w:proofErr w:type="spellStart"/>
      <w:r w:rsidRPr="00C27059">
        <w:rPr>
          <w:rFonts w:ascii="Minion Pro" w:hAnsi="Minion Pro" w:cs="Times New Roman"/>
          <w:iCs/>
          <w:sz w:val="24"/>
          <w:szCs w:val="24"/>
          <w:lang w:val="en-US"/>
        </w:rPr>
        <w:t>mulai</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dari</w:t>
      </w:r>
      <w:proofErr w:type="spellEnd"/>
      <w:r w:rsidRPr="00C27059">
        <w:rPr>
          <w:rFonts w:ascii="Minion Pro" w:hAnsi="Minion Pro" w:cs="Times New Roman"/>
          <w:iCs/>
          <w:sz w:val="24"/>
          <w:szCs w:val="24"/>
          <w:lang w:val="en-US"/>
        </w:rPr>
        <w:t xml:space="preserve"> DPRS, DPA, </w:t>
      </w:r>
      <w:proofErr w:type="spellStart"/>
      <w:r w:rsidRPr="00C27059">
        <w:rPr>
          <w:rFonts w:ascii="Minion Pro" w:hAnsi="Minion Pro" w:cs="Times New Roman"/>
          <w:iCs/>
          <w:sz w:val="24"/>
          <w:szCs w:val="24"/>
          <w:lang w:val="en-US"/>
        </w:rPr>
        <w:t>hingga</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Direktur</w:t>
      </w:r>
      <w:proofErr w:type="spellEnd"/>
      <w:r w:rsidRPr="00C27059">
        <w:rPr>
          <w:rFonts w:ascii="Minion Pro" w:hAnsi="Minion Pro" w:cs="Times New Roman"/>
          <w:iCs/>
          <w:sz w:val="24"/>
          <w:szCs w:val="24"/>
          <w:lang w:val="en-US"/>
        </w:rPr>
        <w:t xml:space="preserve"> Perdana Menteri.</w:t>
      </w:r>
      <w:r w:rsidRPr="00C27059">
        <w:rPr>
          <w:rFonts w:ascii="Minion Pro" w:hAnsi="Minion Pro" w:cs="Times New Roman"/>
          <w:iCs/>
          <w:sz w:val="24"/>
          <w:szCs w:val="24"/>
          <w:vertAlign w:val="superscript"/>
          <w:lang w:val="en-US"/>
        </w:rPr>
        <w:footnoteReference w:id="38"/>
      </w:r>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Konteks</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sosial-politik</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inilah</w:t>
      </w:r>
      <w:proofErr w:type="spellEnd"/>
      <w:r w:rsidRPr="00C27059">
        <w:rPr>
          <w:rFonts w:ascii="Minion Pro" w:hAnsi="Minion Pro" w:cs="Times New Roman"/>
          <w:iCs/>
          <w:sz w:val="24"/>
          <w:szCs w:val="24"/>
          <w:lang w:val="en-US"/>
        </w:rPr>
        <w:t xml:space="preserve"> yang </w:t>
      </w:r>
      <w:proofErr w:type="spellStart"/>
      <w:r w:rsidRPr="00C27059">
        <w:rPr>
          <w:rFonts w:ascii="Minion Pro" w:hAnsi="Minion Pro" w:cs="Times New Roman"/>
          <w:iCs/>
          <w:sz w:val="24"/>
          <w:szCs w:val="24"/>
          <w:lang w:val="en-US"/>
        </w:rPr>
        <w:t>melatari</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kemunculan</w:t>
      </w:r>
      <w:proofErr w:type="spellEnd"/>
      <w:r w:rsidRPr="00C27059">
        <w:rPr>
          <w:rFonts w:ascii="Minion Pro" w:hAnsi="Minion Pro" w:cs="Times New Roman"/>
          <w:iCs/>
          <w:sz w:val="24"/>
          <w:szCs w:val="24"/>
          <w:lang w:val="en-US"/>
        </w:rPr>
        <w:t xml:space="preserve"> fatwa </w:t>
      </w:r>
      <w:proofErr w:type="spellStart"/>
      <w:r w:rsidRPr="00C27059">
        <w:rPr>
          <w:rFonts w:ascii="Minion Pro" w:hAnsi="Minion Pro" w:cs="Times New Roman"/>
          <w:iCs/>
          <w:sz w:val="24"/>
          <w:szCs w:val="24"/>
          <w:lang w:val="en-US"/>
        </w:rPr>
        <w:t>hasil</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Bahtsul</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Masail</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edisi</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tahun</w:t>
      </w:r>
      <w:proofErr w:type="spellEnd"/>
      <w:r w:rsidRPr="00C27059">
        <w:rPr>
          <w:rFonts w:ascii="Minion Pro" w:hAnsi="Minion Pro" w:cs="Times New Roman"/>
          <w:iCs/>
          <w:sz w:val="24"/>
          <w:szCs w:val="24"/>
          <w:lang w:val="en-US"/>
        </w:rPr>
        <w:t xml:space="preserve"> 1957 </w:t>
      </w:r>
      <w:proofErr w:type="spellStart"/>
      <w:r w:rsidRPr="00C27059">
        <w:rPr>
          <w:rFonts w:ascii="Minion Pro" w:hAnsi="Minion Pro" w:cs="Times New Roman"/>
          <w:iCs/>
          <w:sz w:val="24"/>
          <w:szCs w:val="24"/>
          <w:lang w:val="en-US"/>
        </w:rPr>
        <w:t>bertajuk</w:t>
      </w:r>
      <w:proofErr w:type="spellEnd"/>
      <w:r w:rsidRPr="00C27059">
        <w:rPr>
          <w:rFonts w:ascii="Minion Pro" w:hAnsi="Minion Pro" w:cs="Times New Roman"/>
          <w:iCs/>
          <w:sz w:val="24"/>
          <w:szCs w:val="24"/>
          <w:lang w:val="en-US"/>
        </w:rPr>
        <w:t xml:space="preserve"> “Wanita </w:t>
      </w:r>
      <w:proofErr w:type="spellStart"/>
      <w:r w:rsidRPr="00C27059">
        <w:rPr>
          <w:rFonts w:ascii="Minion Pro" w:hAnsi="Minion Pro" w:cs="Times New Roman"/>
          <w:iCs/>
          <w:sz w:val="24"/>
          <w:szCs w:val="24"/>
          <w:lang w:val="en-US"/>
        </w:rPr>
        <w:t>Menjadi</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Anggota</w:t>
      </w:r>
      <w:proofErr w:type="spellEnd"/>
      <w:r w:rsidRPr="00C27059">
        <w:rPr>
          <w:rFonts w:ascii="Minion Pro" w:hAnsi="Minion Pro" w:cs="Times New Roman"/>
          <w:iCs/>
          <w:sz w:val="24"/>
          <w:szCs w:val="24"/>
          <w:lang w:val="en-US"/>
        </w:rPr>
        <w:t xml:space="preserve"> DPR/DPRD”. Fatwa yang </w:t>
      </w:r>
      <w:proofErr w:type="spellStart"/>
      <w:r w:rsidRPr="00C27059">
        <w:rPr>
          <w:rFonts w:ascii="Minion Pro" w:hAnsi="Minion Pro" w:cs="Times New Roman"/>
          <w:iCs/>
          <w:sz w:val="24"/>
          <w:szCs w:val="24"/>
          <w:lang w:val="en-US"/>
        </w:rPr>
        <w:t>diputuskan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ketika</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itu</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adalah</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bahwa</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dalam</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hukum</w:t>
      </w:r>
      <w:proofErr w:type="spellEnd"/>
      <w:r w:rsidRPr="00C27059">
        <w:rPr>
          <w:rFonts w:ascii="Minion Pro" w:hAnsi="Minion Pro" w:cs="Times New Roman"/>
          <w:iCs/>
          <w:sz w:val="24"/>
          <w:szCs w:val="24"/>
          <w:lang w:val="en-US"/>
        </w:rPr>
        <w:t xml:space="preserve"> Islam, </w:t>
      </w:r>
      <w:proofErr w:type="spellStart"/>
      <w:r w:rsidRPr="00C27059">
        <w:rPr>
          <w:rFonts w:ascii="Minion Pro" w:hAnsi="Minion Pro" w:cs="Times New Roman"/>
          <w:iCs/>
          <w:sz w:val="24"/>
          <w:szCs w:val="24"/>
          <w:lang w:val="en-US"/>
        </w:rPr>
        <w:t>wanita</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diperbolehkan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menjadi</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anggota</w:t>
      </w:r>
      <w:proofErr w:type="spellEnd"/>
      <w:r w:rsidRPr="00C27059">
        <w:rPr>
          <w:rFonts w:ascii="Minion Pro" w:hAnsi="Minion Pro" w:cs="Times New Roman"/>
          <w:iCs/>
          <w:sz w:val="24"/>
          <w:szCs w:val="24"/>
          <w:lang w:val="en-US"/>
        </w:rPr>
        <w:t xml:space="preserve"> DPR/DPRD, </w:t>
      </w:r>
      <w:proofErr w:type="spellStart"/>
      <w:r w:rsidRPr="00C27059">
        <w:rPr>
          <w:rFonts w:ascii="Minion Pro" w:hAnsi="Minion Pro" w:cs="Times New Roman"/>
          <w:iCs/>
          <w:sz w:val="24"/>
          <w:szCs w:val="24"/>
          <w:lang w:val="en-US"/>
        </w:rPr>
        <w:t>selama</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memenuhi</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syarat</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tertentu</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terkait</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kapabilitas</w:t>
      </w:r>
      <w:proofErr w:type="spellEnd"/>
      <w:r w:rsidRPr="00C27059">
        <w:rPr>
          <w:rFonts w:ascii="Minion Pro" w:hAnsi="Minion Pro" w:cs="Times New Roman"/>
          <w:iCs/>
          <w:sz w:val="24"/>
          <w:szCs w:val="24"/>
          <w:lang w:val="en-US"/>
        </w:rPr>
        <w:t xml:space="preserve"> dan </w:t>
      </w:r>
      <w:proofErr w:type="spellStart"/>
      <w:r w:rsidRPr="00C27059">
        <w:rPr>
          <w:rFonts w:ascii="Minion Pro" w:hAnsi="Minion Pro" w:cs="Times New Roman"/>
          <w:iCs/>
          <w:sz w:val="24"/>
          <w:szCs w:val="24"/>
          <w:lang w:val="en-US"/>
        </w:rPr>
        <w:t>integritas</w:t>
      </w:r>
      <w:proofErr w:type="spellEnd"/>
      <w:r w:rsidRPr="00C27059">
        <w:rPr>
          <w:rFonts w:ascii="Minion Pro" w:hAnsi="Minion Pro" w:cs="Times New Roman"/>
          <w:iCs/>
          <w:sz w:val="24"/>
          <w:szCs w:val="24"/>
          <w:lang w:val="en-US"/>
        </w:rPr>
        <w:t xml:space="preserve"> moral, </w:t>
      </w:r>
      <w:proofErr w:type="spellStart"/>
      <w:r w:rsidRPr="00C27059">
        <w:rPr>
          <w:rFonts w:ascii="Minion Pro" w:hAnsi="Minion Pro" w:cs="Times New Roman"/>
          <w:iCs/>
          <w:sz w:val="24"/>
          <w:szCs w:val="24"/>
          <w:lang w:val="en-US"/>
        </w:rPr>
        <w:t>yaitu</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menjaga</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kehormatan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memiliki</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keahlian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menutupi</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aurat</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mendapat</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izin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menghindari</w:t>
      </w:r>
      <w:proofErr w:type="spellEnd"/>
      <w:r w:rsidRPr="00C27059">
        <w:rPr>
          <w:rFonts w:ascii="Minion Pro" w:hAnsi="Minion Pro" w:cs="Times New Roman"/>
          <w:iCs/>
          <w:sz w:val="24"/>
          <w:szCs w:val="24"/>
          <w:lang w:val="en-US"/>
        </w:rPr>
        <w:t xml:space="preserve"> fitnah, dan </w:t>
      </w:r>
      <w:proofErr w:type="spellStart"/>
      <w:r w:rsidRPr="00C27059">
        <w:rPr>
          <w:rFonts w:ascii="Minion Pro" w:hAnsi="Minion Pro" w:cs="Times New Roman"/>
          <w:iCs/>
          <w:sz w:val="24"/>
          <w:szCs w:val="24"/>
          <w:lang w:val="en-US"/>
        </w:rPr>
        <w:t>tidak</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menyebabkan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munculnya</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hal-hal</w:t>
      </w:r>
      <w:proofErr w:type="spellEnd"/>
      <w:r w:rsidRPr="00C27059">
        <w:rPr>
          <w:rFonts w:ascii="Minion Pro" w:hAnsi="Minion Pro" w:cs="Times New Roman"/>
          <w:iCs/>
          <w:sz w:val="24"/>
          <w:szCs w:val="24"/>
          <w:lang w:val="en-US"/>
        </w:rPr>
        <w:t xml:space="preserve"> yang </w:t>
      </w:r>
      <w:proofErr w:type="spellStart"/>
      <w:r w:rsidRPr="00C27059">
        <w:rPr>
          <w:rFonts w:ascii="Minion Pro" w:hAnsi="Minion Pro" w:cs="Times New Roman"/>
          <w:iCs/>
          <w:sz w:val="24"/>
          <w:szCs w:val="24"/>
          <w:lang w:val="en-US"/>
        </w:rPr>
        <w:t>munkar</w:t>
      </w:r>
      <w:proofErr w:type="spellEnd"/>
      <w:r w:rsidRPr="00C27059">
        <w:rPr>
          <w:rFonts w:ascii="Minion Pro" w:hAnsi="Minion Pro" w:cs="Times New Roman"/>
          <w:iCs/>
          <w:sz w:val="24"/>
          <w:szCs w:val="24"/>
          <w:lang w:val="en-US"/>
        </w:rPr>
        <w:t>.</w:t>
      </w:r>
      <w:r w:rsidRPr="00C27059">
        <w:rPr>
          <w:rFonts w:ascii="Minion Pro" w:hAnsi="Minion Pro" w:cs="Times New Roman"/>
          <w:iCs/>
          <w:sz w:val="24"/>
          <w:szCs w:val="24"/>
          <w:vertAlign w:val="superscript"/>
          <w:lang w:val="en-US"/>
        </w:rPr>
        <w:footnoteReference w:id="39"/>
      </w:r>
      <w:r w:rsidRPr="00C27059">
        <w:rPr>
          <w:rFonts w:ascii="Minion Pro" w:hAnsi="Minion Pro" w:cs="Times New Roman"/>
          <w:iCs/>
          <w:sz w:val="24"/>
          <w:szCs w:val="24"/>
          <w:lang w:val="en-US"/>
        </w:rPr>
        <w:t xml:space="preserve"> </w:t>
      </w:r>
    </w:p>
    <w:p w14:paraId="1D779662" w14:textId="77777777" w:rsidR="00C27059" w:rsidRPr="00C27059" w:rsidRDefault="00C27059" w:rsidP="00C27059">
      <w:pPr>
        <w:spacing w:line="240" w:lineRule="auto"/>
        <w:jc w:val="both"/>
        <w:rPr>
          <w:rFonts w:ascii="Minion Pro" w:hAnsi="Minion Pro" w:cs="Times New Roman"/>
          <w:iCs/>
          <w:sz w:val="24"/>
          <w:szCs w:val="24"/>
          <w:lang w:val="en-US"/>
        </w:rPr>
      </w:pPr>
      <w:r w:rsidRPr="00C27059">
        <w:rPr>
          <w:rFonts w:ascii="Minion Pro" w:hAnsi="Minion Pro" w:cs="Times New Roman"/>
          <w:iCs/>
          <w:sz w:val="24"/>
          <w:szCs w:val="24"/>
          <w:lang w:val="en-US"/>
        </w:rPr>
        <w:t xml:space="preserve">Fatwa </w:t>
      </w:r>
      <w:proofErr w:type="spellStart"/>
      <w:r w:rsidRPr="00C27059">
        <w:rPr>
          <w:rFonts w:ascii="Minion Pro" w:hAnsi="Minion Pro" w:cs="Times New Roman"/>
          <w:iCs/>
          <w:sz w:val="24"/>
          <w:szCs w:val="24"/>
          <w:lang w:val="en-US"/>
        </w:rPr>
        <w:t>ini</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jika</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dicermati</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lahir</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dari</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penggunaan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tiga</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metode</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sekaligus</w:t>
      </w:r>
      <w:proofErr w:type="spellEnd"/>
      <w:r w:rsidRPr="00C27059">
        <w:rPr>
          <w:rFonts w:ascii="Minion Pro" w:hAnsi="Minion Pro" w:cs="Times New Roman"/>
          <w:iCs/>
          <w:sz w:val="24"/>
          <w:szCs w:val="24"/>
          <w:lang w:val="en-US"/>
        </w:rPr>
        <w:t xml:space="preserve">. Di </w:t>
      </w:r>
      <w:proofErr w:type="spellStart"/>
      <w:r w:rsidRPr="00C27059">
        <w:rPr>
          <w:rFonts w:ascii="Minion Pro" w:hAnsi="Minion Pro" w:cs="Times New Roman"/>
          <w:iCs/>
          <w:sz w:val="24"/>
          <w:szCs w:val="24"/>
          <w:lang w:val="en-US"/>
        </w:rPr>
        <w:t>satu</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sisi</w:t>
      </w:r>
      <w:proofErr w:type="spellEnd"/>
      <w:r w:rsidRPr="00C27059">
        <w:rPr>
          <w:rFonts w:ascii="Minion Pro" w:hAnsi="Minion Pro" w:cs="Times New Roman"/>
          <w:iCs/>
          <w:sz w:val="24"/>
          <w:szCs w:val="24"/>
          <w:lang w:val="en-US"/>
        </w:rPr>
        <w:t xml:space="preserve">, fatwa </w:t>
      </w:r>
      <w:proofErr w:type="spellStart"/>
      <w:r w:rsidRPr="00C27059">
        <w:rPr>
          <w:rFonts w:ascii="Minion Pro" w:hAnsi="Minion Pro" w:cs="Times New Roman"/>
          <w:iCs/>
          <w:sz w:val="24"/>
          <w:szCs w:val="24"/>
          <w:lang w:val="en-US"/>
        </w:rPr>
        <w:t>itu</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memang</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terlihat</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tekstual</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
          <w:iCs/>
          <w:sz w:val="24"/>
          <w:szCs w:val="24"/>
          <w:lang w:val="en-US"/>
        </w:rPr>
        <w:t>qaulī</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karena</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hanya</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mengacu</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kepada</w:t>
      </w:r>
      <w:proofErr w:type="spellEnd"/>
      <w:r w:rsidRPr="00C27059">
        <w:rPr>
          <w:rFonts w:ascii="Minion Pro" w:hAnsi="Minion Pro" w:cs="Times New Roman"/>
          <w:iCs/>
          <w:sz w:val="24"/>
          <w:szCs w:val="24"/>
          <w:lang w:val="en-US"/>
        </w:rPr>
        <w:t xml:space="preserve"> kitab </w:t>
      </w:r>
      <w:proofErr w:type="spellStart"/>
      <w:r w:rsidRPr="00C27059">
        <w:rPr>
          <w:rFonts w:ascii="Minion Pro" w:hAnsi="Minion Pro" w:cs="Times New Roman"/>
          <w:i/>
          <w:iCs/>
          <w:sz w:val="24"/>
          <w:szCs w:val="24"/>
          <w:lang w:val="en-US"/>
        </w:rPr>
        <w:t>Mughnī</w:t>
      </w:r>
      <w:proofErr w:type="spellEnd"/>
      <w:r w:rsidRPr="00C27059">
        <w:rPr>
          <w:rFonts w:ascii="Minion Pro" w:hAnsi="Minion Pro" w:cs="Times New Roman"/>
          <w:i/>
          <w:iCs/>
          <w:sz w:val="24"/>
          <w:szCs w:val="24"/>
          <w:lang w:val="en-US"/>
        </w:rPr>
        <w:t xml:space="preserve"> al-Mu</w:t>
      </w:r>
      <w:r w:rsidRPr="00C27059">
        <w:rPr>
          <w:rFonts w:ascii="Minion Pro" w:hAnsi="Minion Pro" w:cs="Times New Roman"/>
          <w:i/>
          <w:iCs/>
          <w:sz w:val="24"/>
          <w:szCs w:val="24"/>
        </w:rPr>
        <w:t>h</w:t>
      </w:r>
      <w:proofErr w:type="spellStart"/>
      <w:r w:rsidRPr="00C27059">
        <w:rPr>
          <w:rFonts w:ascii="Minion Pro" w:hAnsi="Minion Pro" w:cs="Times New Roman"/>
          <w:i/>
          <w:iCs/>
          <w:sz w:val="24"/>
          <w:szCs w:val="24"/>
          <w:lang w:val="en-US"/>
        </w:rPr>
        <w:t>tāj</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karya</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Mu</w:t>
      </w:r>
      <w:r w:rsidRPr="00C27059">
        <w:rPr>
          <w:rFonts w:ascii="Cambria" w:hAnsi="Cambria" w:cs="Cambria"/>
          <w:iCs/>
          <w:sz w:val="24"/>
          <w:szCs w:val="24"/>
          <w:lang w:val="en-US"/>
        </w:rPr>
        <w:t>ḥ</w:t>
      </w:r>
      <w:r w:rsidRPr="00C27059">
        <w:rPr>
          <w:rFonts w:ascii="Minion Pro" w:hAnsi="Minion Pro" w:cs="Times New Roman"/>
          <w:iCs/>
          <w:sz w:val="24"/>
          <w:szCs w:val="24"/>
          <w:lang w:val="en-US"/>
        </w:rPr>
        <w:t>ammad</w:t>
      </w:r>
      <w:proofErr w:type="spellEnd"/>
      <w:r w:rsidRPr="00C27059">
        <w:rPr>
          <w:rFonts w:ascii="Minion Pro" w:hAnsi="Minion Pro" w:cs="Times New Roman"/>
          <w:iCs/>
          <w:sz w:val="24"/>
          <w:szCs w:val="24"/>
          <w:lang w:val="en-US"/>
        </w:rPr>
        <w:t xml:space="preserve"> al-Kha</w:t>
      </w:r>
      <w:r w:rsidRPr="00C27059">
        <w:rPr>
          <w:rFonts w:ascii="Minion Pro" w:hAnsi="Minion Pro" w:cs="Times New Roman"/>
          <w:iCs/>
          <w:sz w:val="24"/>
          <w:szCs w:val="24"/>
        </w:rPr>
        <w:t>th</w:t>
      </w:r>
      <w:proofErr w:type="spellStart"/>
      <w:r w:rsidRPr="00C27059">
        <w:rPr>
          <w:rFonts w:ascii="Minion Pro" w:hAnsi="Minion Pro" w:cs="Times New Roman"/>
          <w:iCs/>
          <w:sz w:val="24"/>
          <w:szCs w:val="24"/>
          <w:lang w:val="en-US"/>
        </w:rPr>
        <w:t>īb</w:t>
      </w:r>
      <w:proofErr w:type="spellEnd"/>
      <w:r w:rsidRPr="00C27059">
        <w:rPr>
          <w:rFonts w:ascii="Minion Pro" w:hAnsi="Minion Pro" w:cs="Times New Roman"/>
          <w:iCs/>
          <w:sz w:val="24"/>
          <w:szCs w:val="24"/>
          <w:lang w:val="en-US"/>
        </w:rPr>
        <w:t xml:space="preserve"> a</w:t>
      </w:r>
      <w:r w:rsidRPr="00C27059">
        <w:rPr>
          <w:rFonts w:ascii="Minion Pro" w:hAnsi="Minion Pro" w:cs="Times New Roman"/>
          <w:iCs/>
          <w:sz w:val="24"/>
          <w:szCs w:val="24"/>
        </w:rPr>
        <w:t>l</w:t>
      </w:r>
      <w:r w:rsidRPr="00C27059">
        <w:rPr>
          <w:rFonts w:ascii="Minion Pro" w:hAnsi="Minion Pro" w:cs="Times New Roman"/>
          <w:iCs/>
          <w:sz w:val="24"/>
          <w:szCs w:val="24"/>
          <w:lang w:val="en-US"/>
        </w:rPr>
        <w:t>-</w:t>
      </w:r>
      <w:proofErr w:type="spellStart"/>
      <w:r w:rsidRPr="00C27059">
        <w:rPr>
          <w:rFonts w:ascii="Minion Pro" w:hAnsi="Minion Pro" w:cs="Times New Roman"/>
          <w:iCs/>
          <w:sz w:val="24"/>
          <w:szCs w:val="24"/>
          <w:lang w:val="en-US"/>
        </w:rPr>
        <w:t>Syarbīnī</w:t>
      </w:r>
      <w:proofErr w:type="spellEnd"/>
      <w:r w:rsidRPr="00C27059">
        <w:rPr>
          <w:rFonts w:ascii="Minion Pro" w:hAnsi="Minion Pro" w:cs="Times New Roman"/>
          <w:iCs/>
          <w:sz w:val="24"/>
          <w:szCs w:val="24"/>
          <w:lang w:val="en-US"/>
        </w:rPr>
        <w:t xml:space="preserve"> (w. 1570). </w:t>
      </w:r>
      <w:proofErr w:type="spellStart"/>
      <w:r w:rsidRPr="00C27059">
        <w:rPr>
          <w:rFonts w:ascii="Minion Pro" w:hAnsi="Minion Pro" w:cs="Times New Roman"/>
          <w:iCs/>
          <w:sz w:val="24"/>
          <w:szCs w:val="24"/>
          <w:lang w:val="en-US"/>
        </w:rPr>
        <w:t>Substansi</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teksnya</w:t>
      </w:r>
      <w:proofErr w:type="spellEnd"/>
      <w:r w:rsidRPr="00C27059">
        <w:rPr>
          <w:rFonts w:ascii="Minion Pro" w:hAnsi="Minion Pro" w:cs="Times New Roman"/>
          <w:iCs/>
          <w:sz w:val="24"/>
          <w:szCs w:val="24"/>
          <w:lang w:val="en-US"/>
        </w:rPr>
        <w:t xml:space="preserve"> pun </w:t>
      </w:r>
      <w:proofErr w:type="spellStart"/>
      <w:r w:rsidRPr="00C27059">
        <w:rPr>
          <w:rFonts w:ascii="Minion Pro" w:hAnsi="Minion Pro" w:cs="Times New Roman"/>
          <w:iCs/>
          <w:sz w:val="24"/>
          <w:szCs w:val="24"/>
          <w:lang w:val="en-US"/>
        </w:rPr>
        <w:t>berbicara</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tentang</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prosedur</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peradilan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bukan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tentang</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peran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publik</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perempuan</w:t>
      </w:r>
      <w:proofErr w:type="spellEnd"/>
      <w:r w:rsidRPr="00C27059">
        <w:rPr>
          <w:rFonts w:ascii="Minion Pro" w:hAnsi="Minion Pro" w:cs="Times New Roman"/>
          <w:iCs/>
          <w:sz w:val="24"/>
          <w:szCs w:val="24"/>
          <w:lang w:val="en-US"/>
        </w:rPr>
        <w:t xml:space="preserve">. Teks </w:t>
      </w:r>
      <w:proofErr w:type="spellStart"/>
      <w:r w:rsidRPr="00C27059">
        <w:rPr>
          <w:rFonts w:ascii="Minion Pro" w:hAnsi="Minion Pro" w:cs="Times New Roman"/>
          <w:iCs/>
          <w:sz w:val="24"/>
          <w:szCs w:val="24"/>
          <w:lang w:val="en-US"/>
        </w:rPr>
        <w:t>itu</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menegaskan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bahwa</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jika</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terjadi</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kontradiksi</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argumen</w:t>
      </w:r>
      <w:proofErr w:type="spellEnd"/>
      <w:r w:rsidRPr="00C27059">
        <w:rPr>
          <w:rFonts w:ascii="Minion Pro" w:hAnsi="Minion Pro" w:cs="Times New Roman"/>
          <w:iCs/>
          <w:sz w:val="24"/>
          <w:szCs w:val="24"/>
          <w:lang w:val="en-US"/>
        </w:rPr>
        <w:t xml:space="preserve"> dan </w:t>
      </w:r>
      <w:proofErr w:type="spellStart"/>
      <w:r w:rsidRPr="00C27059">
        <w:rPr>
          <w:rFonts w:ascii="Minion Pro" w:hAnsi="Minion Pro" w:cs="Times New Roman"/>
          <w:iCs/>
          <w:sz w:val="24"/>
          <w:szCs w:val="24"/>
          <w:lang w:val="en-US"/>
        </w:rPr>
        <w:t>bukti</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maka</w:t>
      </w:r>
      <w:proofErr w:type="spellEnd"/>
      <w:r w:rsidRPr="00C27059">
        <w:rPr>
          <w:rFonts w:ascii="Minion Pro" w:hAnsi="Minion Pro" w:cs="Times New Roman"/>
          <w:iCs/>
          <w:sz w:val="24"/>
          <w:szCs w:val="24"/>
          <w:lang w:val="en-US"/>
        </w:rPr>
        <w:t xml:space="preserve"> hakim </w:t>
      </w:r>
      <w:proofErr w:type="spellStart"/>
      <w:r w:rsidRPr="00C27059">
        <w:rPr>
          <w:rFonts w:ascii="Minion Pro" w:hAnsi="Minion Pro" w:cs="Times New Roman"/>
          <w:iCs/>
          <w:sz w:val="24"/>
          <w:szCs w:val="24"/>
          <w:lang w:val="en-US"/>
        </w:rPr>
        <w:t>harus</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berkonsultasi</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kepada</w:t>
      </w:r>
      <w:proofErr w:type="spellEnd"/>
      <w:r w:rsidRPr="00C27059">
        <w:rPr>
          <w:rFonts w:ascii="Minion Pro" w:hAnsi="Minion Pro" w:cs="Times New Roman"/>
          <w:iCs/>
          <w:sz w:val="24"/>
          <w:szCs w:val="24"/>
          <w:lang w:val="en-US"/>
        </w:rPr>
        <w:t xml:space="preserve"> para </w:t>
      </w:r>
      <w:proofErr w:type="spellStart"/>
      <w:r w:rsidRPr="00C27059">
        <w:rPr>
          <w:rFonts w:ascii="Minion Pro" w:hAnsi="Minion Pro" w:cs="Times New Roman"/>
          <w:iCs/>
          <w:sz w:val="24"/>
          <w:szCs w:val="24"/>
          <w:lang w:val="en-US"/>
        </w:rPr>
        <w:t>pakar</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hukum</w:t>
      </w:r>
      <w:proofErr w:type="spellEnd"/>
      <w:r w:rsidRPr="00C27059">
        <w:rPr>
          <w:rFonts w:ascii="Minion Pro" w:hAnsi="Minion Pro" w:cs="Times New Roman"/>
          <w:iCs/>
          <w:sz w:val="24"/>
          <w:szCs w:val="24"/>
          <w:lang w:val="en-US"/>
        </w:rPr>
        <w:t xml:space="preserve"> Islam (</w:t>
      </w:r>
      <w:proofErr w:type="spellStart"/>
      <w:r w:rsidRPr="00C27059">
        <w:rPr>
          <w:rFonts w:ascii="Minion Pro" w:hAnsi="Minion Pro" w:cs="Times New Roman"/>
          <w:i/>
          <w:iCs/>
          <w:sz w:val="24"/>
          <w:szCs w:val="24"/>
          <w:lang w:val="en-US"/>
        </w:rPr>
        <w:t>fuqahā</w:t>
      </w:r>
      <w:proofErr w:type="spellEnd"/>
      <w:r w:rsidRPr="00C27059">
        <w:rPr>
          <w:rFonts w:ascii="Minion Pro" w:hAnsi="Minion Pro" w:cs="Times New Roman"/>
          <w:i/>
          <w:iCs/>
          <w:sz w:val="24"/>
          <w:szCs w:val="24"/>
          <w:lang w:val="en-US"/>
        </w:rPr>
        <w:t>’</w:t>
      </w:r>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termasuk</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dari</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kalangan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perempuan</w:t>
      </w:r>
      <w:proofErr w:type="spellEnd"/>
      <w:r w:rsidRPr="00C27059">
        <w:rPr>
          <w:rFonts w:ascii="Minion Pro" w:hAnsi="Minion Pro" w:cs="Times New Roman"/>
          <w:iCs/>
          <w:sz w:val="24"/>
          <w:szCs w:val="24"/>
          <w:lang w:val="en-US"/>
        </w:rPr>
        <w:t>.</w:t>
      </w:r>
      <w:r w:rsidRPr="00C27059">
        <w:rPr>
          <w:rFonts w:ascii="Minion Pro" w:hAnsi="Minion Pro" w:cs="Times New Roman"/>
          <w:iCs/>
          <w:sz w:val="24"/>
          <w:szCs w:val="24"/>
          <w:vertAlign w:val="superscript"/>
          <w:lang w:val="en-US"/>
        </w:rPr>
        <w:footnoteReference w:id="40"/>
      </w:r>
      <w:r w:rsidRPr="00C27059">
        <w:rPr>
          <w:rFonts w:ascii="Minion Pro" w:hAnsi="Minion Pro" w:cs="Times New Roman"/>
          <w:iCs/>
          <w:sz w:val="24"/>
          <w:szCs w:val="24"/>
          <w:lang w:val="en-US"/>
        </w:rPr>
        <w:t xml:space="preserve"> Di </w:t>
      </w:r>
      <w:proofErr w:type="spellStart"/>
      <w:r w:rsidRPr="00C27059">
        <w:rPr>
          <w:rFonts w:ascii="Minion Pro" w:hAnsi="Minion Pro" w:cs="Times New Roman"/>
          <w:iCs/>
          <w:sz w:val="24"/>
          <w:szCs w:val="24"/>
          <w:lang w:val="en-US"/>
        </w:rPr>
        <w:t>sisi</w:t>
      </w:r>
      <w:proofErr w:type="spellEnd"/>
      <w:r w:rsidRPr="00C27059">
        <w:rPr>
          <w:rFonts w:ascii="Minion Pro" w:hAnsi="Minion Pro" w:cs="Times New Roman"/>
          <w:iCs/>
          <w:sz w:val="24"/>
          <w:szCs w:val="24"/>
          <w:lang w:val="en-US"/>
        </w:rPr>
        <w:t xml:space="preserve"> yang lain, </w:t>
      </w:r>
      <w:proofErr w:type="spellStart"/>
      <w:r w:rsidRPr="00C27059">
        <w:rPr>
          <w:rFonts w:ascii="Minion Pro" w:hAnsi="Minion Pro" w:cs="Times New Roman"/>
          <w:iCs/>
          <w:sz w:val="24"/>
          <w:szCs w:val="24"/>
          <w:lang w:val="en-US"/>
        </w:rPr>
        <w:t>kiai-kiai</w:t>
      </w:r>
      <w:proofErr w:type="spellEnd"/>
      <w:r w:rsidRPr="00C27059">
        <w:rPr>
          <w:rFonts w:ascii="Minion Pro" w:hAnsi="Minion Pro" w:cs="Times New Roman"/>
          <w:iCs/>
          <w:sz w:val="24"/>
          <w:szCs w:val="24"/>
          <w:lang w:val="en-US"/>
        </w:rPr>
        <w:t xml:space="preserve"> NU </w:t>
      </w:r>
      <w:proofErr w:type="spellStart"/>
      <w:r w:rsidRPr="00C27059">
        <w:rPr>
          <w:rFonts w:ascii="Minion Pro" w:hAnsi="Minion Pro" w:cs="Times New Roman"/>
          <w:iCs/>
          <w:sz w:val="24"/>
          <w:szCs w:val="24"/>
          <w:lang w:val="en-US"/>
        </w:rPr>
        <w:t>dalam</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melakukan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pemaknaan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terhadap</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teks</w:t>
      </w:r>
      <w:proofErr w:type="spellEnd"/>
      <w:r w:rsidRPr="00C27059">
        <w:rPr>
          <w:rFonts w:ascii="Minion Pro" w:hAnsi="Minion Pro" w:cs="Times New Roman"/>
          <w:iCs/>
          <w:sz w:val="24"/>
          <w:szCs w:val="24"/>
          <w:lang w:val="en-US"/>
        </w:rPr>
        <w:t xml:space="preserve"> kitab </w:t>
      </w:r>
      <w:proofErr w:type="spellStart"/>
      <w:r w:rsidRPr="00C27059">
        <w:rPr>
          <w:rFonts w:ascii="Minion Pro" w:hAnsi="Minion Pro" w:cs="Times New Roman"/>
          <w:iCs/>
          <w:sz w:val="24"/>
          <w:szCs w:val="24"/>
          <w:lang w:val="en-US"/>
        </w:rPr>
        <w:t>ini</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memakai</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metode</w:t>
      </w:r>
      <w:proofErr w:type="spellEnd"/>
      <w:r w:rsidRPr="00C27059">
        <w:rPr>
          <w:rFonts w:ascii="Minion Pro" w:hAnsi="Minion Pro" w:cs="Times New Roman"/>
          <w:iCs/>
          <w:sz w:val="24"/>
          <w:szCs w:val="24"/>
          <w:lang w:val="en-US"/>
        </w:rPr>
        <w:t xml:space="preserve"> </w:t>
      </w:r>
      <w:r w:rsidRPr="00C27059">
        <w:rPr>
          <w:rFonts w:ascii="Minion Pro" w:hAnsi="Minion Pro" w:cs="Times New Roman"/>
          <w:i/>
          <w:iCs/>
          <w:sz w:val="24"/>
          <w:szCs w:val="24"/>
          <w:lang w:val="en-US"/>
        </w:rPr>
        <w:t>il</w:t>
      </w:r>
      <w:r w:rsidRPr="00C27059">
        <w:rPr>
          <w:rFonts w:ascii="Minion Pro" w:hAnsi="Minion Pro" w:cs="Times New Roman"/>
          <w:i/>
          <w:iCs/>
          <w:sz w:val="24"/>
          <w:szCs w:val="24"/>
        </w:rPr>
        <w:t>h</w:t>
      </w:r>
      <w:proofErr w:type="spellStart"/>
      <w:r w:rsidRPr="00C27059">
        <w:rPr>
          <w:rFonts w:ascii="Minion Pro" w:hAnsi="Minion Pro" w:cs="Times New Roman"/>
          <w:i/>
          <w:iCs/>
          <w:sz w:val="24"/>
          <w:szCs w:val="24"/>
          <w:lang w:val="en-US"/>
        </w:rPr>
        <w:t>āqī</w:t>
      </w:r>
      <w:proofErr w:type="spellEnd"/>
      <w:r w:rsidRPr="00C27059">
        <w:rPr>
          <w:rFonts w:ascii="Minion Pro" w:hAnsi="Minion Pro" w:cs="Times New Roman"/>
          <w:i/>
          <w:iCs/>
          <w:sz w:val="24"/>
          <w:szCs w:val="24"/>
          <w:lang w:val="en-US"/>
        </w:rPr>
        <w:t xml:space="preserve"> </w:t>
      </w:r>
      <w:r w:rsidRPr="00C27059">
        <w:rPr>
          <w:rFonts w:ascii="Minion Pro" w:hAnsi="Minion Pro" w:cs="Times New Roman"/>
          <w:iCs/>
          <w:sz w:val="24"/>
          <w:szCs w:val="24"/>
          <w:lang w:val="en-US"/>
        </w:rPr>
        <w:t xml:space="preserve">dan </w:t>
      </w:r>
      <w:proofErr w:type="spellStart"/>
      <w:r w:rsidRPr="00C27059">
        <w:rPr>
          <w:rFonts w:ascii="Minion Pro" w:hAnsi="Minion Pro" w:cs="Times New Roman"/>
          <w:i/>
          <w:iCs/>
          <w:sz w:val="24"/>
          <w:szCs w:val="24"/>
          <w:lang w:val="en-US"/>
        </w:rPr>
        <w:t>manhajī</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sekaligus</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Dengan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metode</w:t>
      </w:r>
      <w:proofErr w:type="spellEnd"/>
      <w:r w:rsidRPr="00C27059">
        <w:rPr>
          <w:rFonts w:ascii="Minion Pro" w:hAnsi="Minion Pro" w:cs="Times New Roman"/>
          <w:iCs/>
          <w:sz w:val="24"/>
          <w:szCs w:val="24"/>
          <w:lang w:val="en-US"/>
        </w:rPr>
        <w:t xml:space="preserve"> </w:t>
      </w:r>
      <w:r w:rsidRPr="00C27059">
        <w:rPr>
          <w:rFonts w:ascii="Minion Pro" w:hAnsi="Minion Pro" w:cs="Times New Roman"/>
          <w:i/>
          <w:iCs/>
          <w:sz w:val="24"/>
          <w:szCs w:val="24"/>
          <w:lang w:val="en-US"/>
        </w:rPr>
        <w:t>il</w:t>
      </w:r>
      <w:r w:rsidRPr="00C27059">
        <w:rPr>
          <w:rFonts w:ascii="Minion Pro" w:hAnsi="Minion Pro" w:cs="Times New Roman"/>
          <w:i/>
          <w:iCs/>
          <w:sz w:val="24"/>
          <w:szCs w:val="24"/>
        </w:rPr>
        <w:t>h</w:t>
      </w:r>
      <w:proofErr w:type="spellStart"/>
      <w:r w:rsidRPr="00C27059">
        <w:rPr>
          <w:rFonts w:ascii="Minion Pro" w:hAnsi="Minion Pro" w:cs="Times New Roman"/>
          <w:i/>
          <w:iCs/>
          <w:sz w:val="24"/>
          <w:szCs w:val="24"/>
          <w:lang w:val="en-US"/>
        </w:rPr>
        <w:t>āqī</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mereka</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menyamakan</w:t>
      </w:r>
      <w:proofErr w:type="spellEnd"/>
      <w:r w:rsidRPr="00C27059">
        <w:rPr>
          <w:rFonts w:ascii="Minion Pro" w:hAnsi="Minion Pro" w:cs="Times New Roman"/>
          <w:iCs/>
          <w:sz w:val="24"/>
          <w:szCs w:val="24"/>
          <w:lang w:val="en-US"/>
        </w:rPr>
        <w:t xml:space="preserve"> DPR </w:t>
      </w:r>
      <w:proofErr w:type="spellStart"/>
      <w:r w:rsidRPr="00C27059">
        <w:rPr>
          <w:rFonts w:ascii="Minion Pro" w:hAnsi="Minion Pro" w:cs="Times New Roman"/>
          <w:iCs/>
          <w:sz w:val="24"/>
          <w:szCs w:val="24"/>
          <w:lang w:val="en-US"/>
        </w:rPr>
        <w:t>dengan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
          <w:iCs/>
          <w:sz w:val="24"/>
          <w:szCs w:val="24"/>
          <w:lang w:val="en-US"/>
        </w:rPr>
        <w:t>fuqahā</w:t>
      </w:r>
      <w:proofErr w:type="spellEnd"/>
      <w:r w:rsidRPr="00C27059">
        <w:rPr>
          <w:rFonts w:ascii="Minion Pro" w:hAnsi="Minion Pro" w:cs="Times New Roman"/>
          <w:i/>
          <w:iCs/>
          <w:sz w:val="24"/>
          <w:szCs w:val="24"/>
          <w:lang w:val="en-US"/>
        </w:rPr>
        <w:t>’</w:t>
      </w:r>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terkait</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dengan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fungsi</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memberikan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pertimbangan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kepada</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presiden</w:t>
      </w:r>
      <w:proofErr w:type="spellEnd"/>
      <w:r w:rsidRPr="00C27059">
        <w:rPr>
          <w:rFonts w:ascii="Minion Pro" w:hAnsi="Minion Pro" w:cs="Times New Roman"/>
          <w:iCs/>
          <w:sz w:val="24"/>
          <w:szCs w:val="24"/>
          <w:lang w:val="en-US"/>
        </w:rPr>
        <w:t xml:space="preserve"> dan hakim. </w:t>
      </w:r>
      <w:proofErr w:type="spellStart"/>
      <w:r w:rsidRPr="00C27059">
        <w:rPr>
          <w:rFonts w:ascii="Minion Pro" w:hAnsi="Minion Pro" w:cs="Times New Roman"/>
          <w:iCs/>
          <w:sz w:val="24"/>
          <w:szCs w:val="24"/>
          <w:lang w:val="en-US"/>
        </w:rPr>
        <w:t>Sementara</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dengan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metode</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
          <w:iCs/>
          <w:sz w:val="24"/>
          <w:szCs w:val="24"/>
          <w:lang w:val="en-US"/>
        </w:rPr>
        <w:t>manhajī</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mereka</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melakukan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pemaknaan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terhadap</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relevansi</w:t>
      </w:r>
      <w:proofErr w:type="spellEnd"/>
      <w:r w:rsidRPr="00C27059">
        <w:rPr>
          <w:rFonts w:ascii="Minion Pro" w:hAnsi="Minion Pro" w:cs="Times New Roman"/>
          <w:iCs/>
          <w:sz w:val="24"/>
          <w:szCs w:val="24"/>
          <w:lang w:val="en-US"/>
        </w:rPr>
        <w:t xml:space="preserve"> Hadis </w:t>
      </w:r>
      <w:proofErr w:type="spellStart"/>
      <w:r w:rsidRPr="00C27059">
        <w:rPr>
          <w:rFonts w:ascii="Minion Pro" w:hAnsi="Minion Pro" w:cs="Times New Roman"/>
          <w:iCs/>
          <w:sz w:val="24"/>
          <w:szCs w:val="24"/>
          <w:lang w:val="en-US"/>
        </w:rPr>
        <w:t>populer</w:t>
      </w:r>
      <w:proofErr w:type="spellEnd"/>
      <w:r w:rsidRPr="00C27059">
        <w:rPr>
          <w:rFonts w:ascii="Minion Pro" w:hAnsi="Minion Pro" w:cs="Times New Roman"/>
          <w:iCs/>
          <w:sz w:val="24"/>
          <w:szCs w:val="24"/>
          <w:lang w:val="en-US"/>
        </w:rPr>
        <w:t xml:space="preserve"> yang </w:t>
      </w:r>
      <w:proofErr w:type="spellStart"/>
      <w:r w:rsidRPr="00C27059">
        <w:rPr>
          <w:rFonts w:ascii="Minion Pro" w:hAnsi="Minion Pro" w:cs="Times New Roman"/>
          <w:iCs/>
          <w:sz w:val="24"/>
          <w:szCs w:val="24"/>
          <w:lang w:val="en-US"/>
        </w:rPr>
        <w:t>biasa</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dijadikan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pijakan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untuk</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melarang</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perempuan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menjadi</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pemimpin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Dikatakan</w:t>
      </w:r>
      <w:proofErr w:type="spellEnd"/>
      <w:r w:rsidRPr="00C27059">
        <w:rPr>
          <w:rFonts w:ascii="Minion Pro" w:hAnsi="Minion Pro" w:cs="Times New Roman"/>
          <w:iCs/>
          <w:sz w:val="24"/>
          <w:szCs w:val="24"/>
          <w:lang w:val="en-US"/>
        </w:rPr>
        <w:t xml:space="preserve"> di situ </w:t>
      </w:r>
      <w:proofErr w:type="spellStart"/>
      <w:r w:rsidRPr="00C27059">
        <w:rPr>
          <w:rFonts w:ascii="Minion Pro" w:hAnsi="Minion Pro" w:cs="Times New Roman"/>
          <w:iCs/>
          <w:sz w:val="24"/>
          <w:szCs w:val="24"/>
          <w:lang w:val="en-US"/>
        </w:rPr>
        <w:t>bahwa</w:t>
      </w:r>
      <w:proofErr w:type="spellEnd"/>
      <w:r w:rsidRPr="00C27059">
        <w:rPr>
          <w:rFonts w:ascii="Minion Pro" w:hAnsi="Minion Pro" w:cs="Times New Roman"/>
          <w:iCs/>
          <w:sz w:val="24"/>
          <w:szCs w:val="24"/>
          <w:lang w:val="en-US"/>
        </w:rPr>
        <w:t xml:space="preserve"> DPR </w:t>
      </w:r>
      <w:proofErr w:type="spellStart"/>
      <w:r w:rsidRPr="00C27059">
        <w:rPr>
          <w:rFonts w:ascii="Minion Pro" w:hAnsi="Minion Pro" w:cs="Times New Roman"/>
          <w:iCs/>
          <w:sz w:val="24"/>
          <w:szCs w:val="24"/>
          <w:lang w:val="en-US"/>
        </w:rPr>
        <w:t>adalah</w:t>
      </w:r>
      <w:proofErr w:type="spellEnd"/>
      <w:r w:rsidRPr="00C27059">
        <w:rPr>
          <w:rFonts w:ascii="Minion Pro" w:hAnsi="Minion Pro" w:cs="Times New Roman"/>
          <w:iCs/>
          <w:sz w:val="24"/>
          <w:szCs w:val="24"/>
          <w:lang w:val="en-US"/>
        </w:rPr>
        <w:t xml:space="preserve"> badan </w:t>
      </w:r>
      <w:proofErr w:type="spellStart"/>
      <w:r w:rsidRPr="00C27059">
        <w:rPr>
          <w:rFonts w:ascii="Minion Pro" w:hAnsi="Minion Pro" w:cs="Times New Roman"/>
          <w:iCs/>
          <w:sz w:val="24"/>
          <w:szCs w:val="24"/>
          <w:lang w:val="en-US"/>
        </w:rPr>
        <w:t>permusyawaratan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lastRenderedPageBreak/>
        <w:t>untuk</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menentukan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hukum</w:t>
      </w:r>
      <w:proofErr w:type="spellEnd"/>
      <w:r w:rsidRPr="00C27059">
        <w:rPr>
          <w:rFonts w:ascii="Minion Pro" w:hAnsi="Minion Pro" w:cs="Times New Roman"/>
          <w:iCs/>
          <w:sz w:val="24"/>
          <w:szCs w:val="24"/>
          <w:lang w:val="en-US"/>
        </w:rPr>
        <w:t xml:space="preserve"> (</w:t>
      </w:r>
      <w:r w:rsidRPr="00C27059">
        <w:rPr>
          <w:rFonts w:ascii="Minion Pro" w:hAnsi="Minion Pro" w:cs="Times New Roman"/>
          <w:i/>
          <w:iCs/>
          <w:sz w:val="24"/>
          <w:szCs w:val="24"/>
        </w:rPr>
        <w:t>ts</w:t>
      </w:r>
      <w:proofErr w:type="spellStart"/>
      <w:r w:rsidRPr="00C27059">
        <w:rPr>
          <w:rFonts w:ascii="Minion Pro" w:hAnsi="Minion Pro" w:cs="Times New Roman"/>
          <w:i/>
          <w:iCs/>
          <w:sz w:val="24"/>
          <w:szCs w:val="24"/>
          <w:lang w:val="en-US"/>
        </w:rPr>
        <w:t>ubūt</w:t>
      </w:r>
      <w:proofErr w:type="spellEnd"/>
      <w:r w:rsidRPr="00C27059">
        <w:rPr>
          <w:rFonts w:ascii="Minion Pro" w:hAnsi="Minion Pro" w:cs="Times New Roman"/>
          <w:i/>
          <w:iCs/>
          <w:sz w:val="24"/>
          <w:szCs w:val="24"/>
          <w:lang w:val="en-US"/>
        </w:rPr>
        <w:t xml:space="preserve"> </w:t>
      </w:r>
      <w:proofErr w:type="spellStart"/>
      <w:r w:rsidRPr="00C27059">
        <w:rPr>
          <w:rFonts w:ascii="Minion Pro" w:hAnsi="Minion Pro" w:cs="Times New Roman"/>
          <w:i/>
          <w:iCs/>
          <w:sz w:val="24"/>
          <w:szCs w:val="24"/>
          <w:lang w:val="en-US"/>
        </w:rPr>
        <w:t>amr</w:t>
      </w:r>
      <w:proofErr w:type="spellEnd"/>
      <w:r w:rsidRPr="00C27059">
        <w:rPr>
          <w:rFonts w:ascii="Minion Pro" w:hAnsi="Minion Pro" w:cs="Times New Roman"/>
          <w:i/>
          <w:iCs/>
          <w:sz w:val="24"/>
          <w:szCs w:val="24"/>
          <w:lang w:val="en-US"/>
        </w:rPr>
        <w:t xml:space="preserve"> li </w:t>
      </w:r>
      <w:proofErr w:type="spellStart"/>
      <w:r w:rsidRPr="00C27059">
        <w:rPr>
          <w:rFonts w:ascii="Minion Pro" w:hAnsi="Minion Pro" w:cs="Times New Roman"/>
          <w:i/>
          <w:iCs/>
          <w:sz w:val="24"/>
          <w:szCs w:val="24"/>
          <w:lang w:val="en-US"/>
        </w:rPr>
        <w:t>amr</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bukan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untuk</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menentukan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
          <w:iCs/>
          <w:sz w:val="24"/>
          <w:szCs w:val="24"/>
          <w:lang w:val="en-US"/>
        </w:rPr>
        <w:t>qa</w:t>
      </w:r>
      <w:proofErr w:type="spellEnd"/>
      <w:r w:rsidRPr="00C27059">
        <w:rPr>
          <w:rFonts w:ascii="Minion Pro" w:hAnsi="Minion Pro" w:cs="Times New Roman"/>
          <w:i/>
          <w:iCs/>
          <w:sz w:val="24"/>
          <w:szCs w:val="24"/>
        </w:rPr>
        <w:t>dh</w:t>
      </w:r>
      <w:r w:rsidRPr="00C27059">
        <w:rPr>
          <w:rFonts w:ascii="Minion Pro" w:hAnsi="Minion Pro" w:cs="Times New Roman"/>
          <w:i/>
          <w:iCs/>
          <w:sz w:val="24"/>
          <w:szCs w:val="24"/>
          <w:lang w:val="en-US"/>
        </w:rPr>
        <w:t>ā’</w:t>
      </w:r>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sebagaimana</w:t>
      </w:r>
      <w:proofErr w:type="spellEnd"/>
      <w:r w:rsidRPr="00C27059">
        <w:rPr>
          <w:rFonts w:ascii="Minion Pro" w:hAnsi="Minion Pro" w:cs="Times New Roman"/>
          <w:iCs/>
          <w:sz w:val="24"/>
          <w:szCs w:val="24"/>
          <w:lang w:val="en-US"/>
        </w:rPr>
        <w:t xml:space="preserve"> yang </w:t>
      </w:r>
      <w:proofErr w:type="spellStart"/>
      <w:r w:rsidRPr="00C27059">
        <w:rPr>
          <w:rFonts w:ascii="Minion Pro" w:hAnsi="Minion Pro" w:cs="Times New Roman"/>
          <w:iCs/>
          <w:sz w:val="24"/>
          <w:szCs w:val="24"/>
          <w:lang w:val="en-US"/>
        </w:rPr>
        <w:t>dimaksud</w:t>
      </w:r>
      <w:proofErr w:type="spellEnd"/>
      <w:r w:rsidRPr="00C27059">
        <w:rPr>
          <w:rFonts w:ascii="Minion Pro" w:hAnsi="Minion Pro" w:cs="Times New Roman"/>
          <w:iCs/>
          <w:sz w:val="24"/>
          <w:szCs w:val="24"/>
          <w:lang w:val="en-US"/>
        </w:rPr>
        <w:t xml:space="preserve"> oleh Hadis.</w:t>
      </w:r>
      <w:r w:rsidRPr="00C27059">
        <w:rPr>
          <w:rFonts w:ascii="Minion Pro" w:hAnsi="Minion Pro" w:cs="Times New Roman"/>
          <w:iCs/>
          <w:sz w:val="24"/>
          <w:szCs w:val="24"/>
          <w:vertAlign w:val="superscript"/>
          <w:lang w:val="en-US"/>
        </w:rPr>
        <w:footnoteReference w:id="41"/>
      </w:r>
    </w:p>
    <w:p w14:paraId="0FD1013A" w14:textId="77777777" w:rsidR="00C27059" w:rsidRPr="00C27059" w:rsidRDefault="00C27059" w:rsidP="00C27059">
      <w:pPr>
        <w:spacing w:line="240" w:lineRule="auto"/>
        <w:jc w:val="both"/>
        <w:rPr>
          <w:rFonts w:ascii="Minion Pro" w:hAnsi="Minion Pro" w:cs="Times New Roman"/>
          <w:iCs/>
          <w:sz w:val="24"/>
          <w:szCs w:val="24"/>
          <w:lang w:val="en-US"/>
        </w:rPr>
      </w:pPr>
      <w:proofErr w:type="spellStart"/>
      <w:r w:rsidRPr="00C27059">
        <w:rPr>
          <w:rFonts w:ascii="Minion Pro" w:hAnsi="Minion Pro" w:cs="Times New Roman"/>
          <w:iCs/>
          <w:sz w:val="24"/>
          <w:szCs w:val="24"/>
          <w:lang w:val="en-US"/>
        </w:rPr>
        <w:t>Unsur</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
          <w:iCs/>
          <w:sz w:val="24"/>
          <w:szCs w:val="24"/>
          <w:lang w:val="en-US"/>
        </w:rPr>
        <w:t>manhajī</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dalam</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metode</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
          <w:iCs/>
          <w:sz w:val="24"/>
          <w:szCs w:val="24"/>
          <w:lang w:val="en-US"/>
        </w:rPr>
        <w:t>qaulī</w:t>
      </w:r>
      <w:proofErr w:type="spellEnd"/>
      <w:r w:rsidRPr="00C27059">
        <w:rPr>
          <w:rFonts w:ascii="Minion Pro" w:hAnsi="Minion Pro" w:cs="Times New Roman"/>
          <w:iCs/>
          <w:sz w:val="24"/>
          <w:szCs w:val="24"/>
          <w:lang w:val="en-US"/>
        </w:rPr>
        <w:t xml:space="preserve"> juga </w:t>
      </w:r>
      <w:proofErr w:type="spellStart"/>
      <w:r w:rsidRPr="00C27059">
        <w:rPr>
          <w:rFonts w:ascii="Minion Pro" w:hAnsi="Minion Pro" w:cs="Times New Roman"/>
          <w:iCs/>
          <w:sz w:val="24"/>
          <w:szCs w:val="24"/>
          <w:lang w:val="en-US"/>
        </w:rPr>
        <w:t>digunakan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kiai-kiai</w:t>
      </w:r>
      <w:proofErr w:type="spellEnd"/>
      <w:r w:rsidRPr="00C27059">
        <w:rPr>
          <w:rFonts w:ascii="Minion Pro" w:hAnsi="Minion Pro" w:cs="Times New Roman"/>
          <w:iCs/>
          <w:sz w:val="24"/>
          <w:szCs w:val="24"/>
          <w:lang w:val="en-US"/>
        </w:rPr>
        <w:t xml:space="preserve"> NU </w:t>
      </w:r>
      <w:proofErr w:type="spellStart"/>
      <w:r w:rsidRPr="00C27059">
        <w:rPr>
          <w:rFonts w:ascii="Minion Pro" w:hAnsi="Minion Pro" w:cs="Times New Roman"/>
          <w:iCs/>
          <w:sz w:val="24"/>
          <w:szCs w:val="24"/>
          <w:lang w:val="en-US"/>
        </w:rPr>
        <w:t>ketika</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membahas</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tema</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perempuan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menjadi</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kepala</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desa</w:t>
      </w:r>
      <w:proofErr w:type="spellEnd"/>
      <w:r w:rsidRPr="00C27059">
        <w:rPr>
          <w:rFonts w:ascii="Minion Pro" w:hAnsi="Minion Pro" w:cs="Times New Roman"/>
          <w:iCs/>
          <w:sz w:val="24"/>
          <w:szCs w:val="24"/>
          <w:lang w:val="en-US"/>
        </w:rPr>
        <w:t xml:space="preserve"> pada </w:t>
      </w:r>
      <w:proofErr w:type="spellStart"/>
      <w:r w:rsidRPr="00C27059">
        <w:rPr>
          <w:rFonts w:ascii="Minion Pro" w:hAnsi="Minion Pro" w:cs="Times New Roman"/>
          <w:iCs/>
          <w:sz w:val="24"/>
          <w:szCs w:val="24"/>
          <w:lang w:val="en-US"/>
        </w:rPr>
        <w:t>Bahtsul</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Masail</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edisi</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tahun</w:t>
      </w:r>
      <w:proofErr w:type="spellEnd"/>
      <w:r w:rsidRPr="00C27059">
        <w:rPr>
          <w:rFonts w:ascii="Minion Pro" w:hAnsi="Minion Pro" w:cs="Times New Roman"/>
          <w:iCs/>
          <w:sz w:val="24"/>
          <w:szCs w:val="24"/>
          <w:lang w:val="en-US"/>
        </w:rPr>
        <w:t xml:space="preserve"> 1957. </w:t>
      </w:r>
      <w:proofErr w:type="spellStart"/>
      <w:r w:rsidRPr="00C27059">
        <w:rPr>
          <w:rFonts w:ascii="Minion Pro" w:hAnsi="Minion Pro" w:cs="Times New Roman"/>
          <w:iCs/>
          <w:sz w:val="24"/>
          <w:szCs w:val="24"/>
          <w:lang w:val="en-US"/>
        </w:rPr>
        <w:t>Melihat</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pengusul</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tema</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ini</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yakni</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Fraksi</w:t>
      </w:r>
      <w:proofErr w:type="spellEnd"/>
      <w:r w:rsidRPr="00C27059">
        <w:rPr>
          <w:rFonts w:ascii="Minion Pro" w:hAnsi="Minion Pro" w:cs="Times New Roman"/>
          <w:iCs/>
          <w:sz w:val="24"/>
          <w:szCs w:val="24"/>
          <w:lang w:val="en-US"/>
        </w:rPr>
        <w:t xml:space="preserve"> NU DPRGR Pusat, </w:t>
      </w:r>
      <w:proofErr w:type="spellStart"/>
      <w:r w:rsidRPr="00C27059">
        <w:rPr>
          <w:rFonts w:ascii="Minion Pro" w:hAnsi="Minion Pro" w:cs="Times New Roman"/>
          <w:iCs/>
          <w:sz w:val="24"/>
          <w:szCs w:val="24"/>
          <w:lang w:val="en-US"/>
        </w:rPr>
        <w:t>terlihat</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bahwa</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tema</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ini</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dibahas</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untuk</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merespon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munculnya</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kepala</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desa</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perempuan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pertama</w:t>
      </w:r>
      <w:proofErr w:type="spellEnd"/>
      <w:r w:rsidRPr="00C27059">
        <w:rPr>
          <w:rFonts w:ascii="Minion Pro" w:hAnsi="Minion Pro" w:cs="Times New Roman"/>
          <w:iCs/>
          <w:sz w:val="24"/>
          <w:szCs w:val="24"/>
          <w:lang w:val="en-US"/>
        </w:rPr>
        <w:t xml:space="preserve"> di Indonesia.</w:t>
      </w:r>
      <w:r w:rsidRPr="00C27059">
        <w:rPr>
          <w:rFonts w:ascii="Minion Pro" w:hAnsi="Minion Pro" w:cs="Times New Roman"/>
          <w:iCs/>
          <w:sz w:val="24"/>
          <w:szCs w:val="24"/>
          <w:vertAlign w:val="superscript"/>
          <w:lang w:val="en-US"/>
        </w:rPr>
        <w:footnoteReference w:id="42"/>
      </w:r>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Diputuskan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waktu</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itu</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bahwa</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perempuan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tidak</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boleh</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dipilih</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menjadi</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kepala</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desa</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kecuali</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dalam</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keadaan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terpaksa</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Unsur</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
          <w:iCs/>
          <w:sz w:val="24"/>
          <w:szCs w:val="24"/>
          <w:lang w:val="en-US"/>
        </w:rPr>
        <w:t>manhajī</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dalam</w:t>
      </w:r>
      <w:proofErr w:type="spellEnd"/>
      <w:r w:rsidRPr="00C27059">
        <w:rPr>
          <w:rFonts w:ascii="Minion Pro" w:hAnsi="Minion Pro" w:cs="Times New Roman"/>
          <w:iCs/>
          <w:sz w:val="24"/>
          <w:szCs w:val="24"/>
          <w:lang w:val="en-US"/>
        </w:rPr>
        <w:t xml:space="preserve"> fatwa </w:t>
      </w:r>
      <w:proofErr w:type="spellStart"/>
      <w:r w:rsidRPr="00C27059">
        <w:rPr>
          <w:rFonts w:ascii="Minion Pro" w:hAnsi="Minion Pro" w:cs="Times New Roman"/>
          <w:iCs/>
          <w:sz w:val="24"/>
          <w:szCs w:val="24"/>
          <w:lang w:val="en-US"/>
        </w:rPr>
        <w:t>ini</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terlihat</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dari</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frase</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kecuali</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dalam</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keadaan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terpaksa</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dalam</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teks</w:t>
      </w:r>
      <w:proofErr w:type="spellEnd"/>
      <w:r w:rsidRPr="00C27059">
        <w:rPr>
          <w:rFonts w:ascii="Minion Pro" w:hAnsi="Minion Pro" w:cs="Times New Roman"/>
          <w:iCs/>
          <w:sz w:val="24"/>
          <w:szCs w:val="24"/>
          <w:lang w:val="en-US"/>
        </w:rPr>
        <w:t xml:space="preserve"> fatwa yang </w:t>
      </w:r>
      <w:proofErr w:type="spellStart"/>
      <w:r w:rsidRPr="00C27059">
        <w:rPr>
          <w:rFonts w:ascii="Minion Pro" w:hAnsi="Minion Pro" w:cs="Times New Roman"/>
          <w:iCs/>
          <w:sz w:val="24"/>
          <w:szCs w:val="24"/>
          <w:lang w:val="en-US"/>
        </w:rPr>
        <w:t>ditulis</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Frase</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tersebut</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terlihat</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mengikuti</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skema</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berpikir</w:t>
      </w:r>
      <w:proofErr w:type="spellEnd"/>
      <w:r w:rsidRPr="00C27059">
        <w:rPr>
          <w:rFonts w:ascii="Minion Pro" w:hAnsi="Minion Pro" w:cs="Times New Roman"/>
          <w:iCs/>
          <w:sz w:val="24"/>
          <w:szCs w:val="24"/>
          <w:lang w:val="en-US"/>
        </w:rPr>
        <w:t xml:space="preserve"> kitab </w:t>
      </w:r>
      <w:r w:rsidRPr="00C27059">
        <w:rPr>
          <w:rFonts w:ascii="Minion Pro" w:hAnsi="Minion Pro" w:cs="Times New Roman"/>
          <w:i/>
          <w:iCs/>
          <w:sz w:val="24"/>
          <w:szCs w:val="24"/>
          <w:lang w:val="en-US"/>
        </w:rPr>
        <w:t>al-</w:t>
      </w:r>
      <w:proofErr w:type="spellStart"/>
      <w:r w:rsidRPr="00C27059">
        <w:rPr>
          <w:rFonts w:ascii="Minion Pro" w:hAnsi="Minion Pro" w:cs="Times New Roman"/>
          <w:i/>
          <w:iCs/>
          <w:sz w:val="24"/>
          <w:szCs w:val="24"/>
          <w:lang w:val="en-US"/>
        </w:rPr>
        <w:t>Mīzān</w:t>
      </w:r>
      <w:proofErr w:type="spellEnd"/>
      <w:r w:rsidRPr="00C27059">
        <w:rPr>
          <w:rFonts w:ascii="Minion Pro" w:hAnsi="Minion Pro" w:cs="Times New Roman"/>
          <w:i/>
          <w:iCs/>
          <w:sz w:val="24"/>
          <w:szCs w:val="24"/>
          <w:lang w:val="en-US"/>
        </w:rPr>
        <w:t xml:space="preserve"> al-</w:t>
      </w:r>
      <w:proofErr w:type="spellStart"/>
      <w:r w:rsidRPr="00C27059">
        <w:rPr>
          <w:rFonts w:ascii="Minion Pro" w:hAnsi="Minion Pro" w:cs="Times New Roman"/>
          <w:i/>
          <w:iCs/>
          <w:sz w:val="24"/>
          <w:szCs w:val="24"/>
          <w:lang w:val="en-US"/>
        </w:rPr>
        <w:t>Kubrā</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karya</w:t>
      </w:r>
      <w:proofErr w:type="spellEnd"/>
      <w:r w:rsidRPr="00C27059">
        <w:rPr>
          <w:rFonts w:ascii="Minion Pro" w:hAnsi="Minion Pro" w:cs="Times New Roman"/>
          <w:iCs/>
          <w:sz w:val="24"/>
          <w:szCs w:val="24"/>
          <w:lang w:val="en-US"/>
        </w:rPr>
        <w:t xml:space="preserve"> </w:t>
      </w:r>
      <w:r w:rsidRPr="00C27059">
        <w:rPr>
          <w:rFonts w:ascii="Minion Pro" w:hAnsi="Minion Pro" w:cs="Times New Roman"/>
          <w:iCs/>
          <w:sz w:val="24"/>
          <w:szCs w:val="24"/>
        </w:rPr>
        <w:t xml:space="preserve">‘Abd al-Wahhāb </w:t>
      </w:r>
      <w:r w:rsidRPr="00C27059">
        <w:rPr>
          <w:rFonts w:ascii="Minion Pro" w:hAnsi="Minion Pro" w:cs="Times New Roman"/>
          <w:iCs/>
          <w:sz w:val="24"/>
          <w:szCs w:val="24"/>
          <w:lang w:val="en-US"/>
        </w:rPr>
        <w:t>a</w:t>
      </w:r>
      <w:r w:rsidRPr="00C27059">
        <w:rPr>
          <w:rFonts w:ascii="Minion Pro" w:hAnsi="Minion Pro" w:cs="Times New Roman"/>
          <w:iCs/>
          <w:sz w:val="24"/>
          <w:szCs w:val="24"/>
        </w:rPr>
        <w:t>l</w:t>
      </w:r>
      <w:r w:rsidRPr="00C27059">
        <w:rPr>
          <w:rFonts w:ascii="Minion Pro" w:hAnsi="Minion Pro" w:cs="Times New Roman"/>
          <w:iCs/>
          <w:sz w:val="24"/>
          <w:szCs w:val="24"/>
          <w:lang w:val="en-US"/>
        </w:rPr>
        <w:t>-</w:t>
      </w:r>
      <w:proofErr w:type="spellStart"/>
      <w:proofErr w:type="gramStart"/>
      <w:r w:rsidRPr="00C27059">
        <w:rPr>
          <w:rFonts w:ascii="Minion Pro" w:hAnsi="Minion Pro" w:cs="Times New Roman"/>
          <w:iCs/>
          <w:sz w:val="24"/>
          <w:szCs w:val="24"/>
          <w:lang w:val="en-US"/>
        </w:rPr>
        <w:t>Sya‘</w:t>
      </w:r>
      <w:proofErr w:type="gramEnd"/>
      <w:r w:rsidRPr="00C27059">
        <w:rPr>
          <w:rFonts w:ascii="Minion Pro" w:hAnsi="Minion Pro" w:cs="Times New Roman"/>
          <w:iCs/>
          <w:sz w:val="24"/>
          <w:szCs w:val="24"/>
          <w:lang w:val="en-US"/>
        </w:rPr>
        <w:t>rānī</w:t>
      </w:r>
      <w:proofErr w:type="spellEnd"/>
      <w:r w:rsidRPr="00C27059">
        <w:rPr>
          <w:rFonts w:ascii="Minion Pro" w:hAnsi="Minion Pro" w:cs="Times New Roman"/>
          <w:iCs/>
          <w:sz w:val="24"/>
          <w:szCs w:val="24"/>
          <w:lang w:val="en-US"/>
        </w:rPr>
        <w:t xml:space="preserve"> yang </w:t>
      </w:r>
      <w:proofErr w:type="spellStart"/>
      <w:r w:rsidRPr="00C27059">
        <w:rPr>
          <w:rFonts w:ascii="Minion Pro" w:hAnsi="Minion Pro" w:cs="Times New Roman"/>
          <w:iCs/>
          <w:sz w:val="24"/>
          <w:szCs w:val="24"/>
          <w:lang w:val="en-US"/>
        </w:rPr>
        <w:t>diacu</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ketika</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itu</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yaitu</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bahwa</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pendapat</w:t>
      </w:r>
      <w:proofErr w:type="spellEnd"/>
      <w:r w:rsidRPr="00C27059">
        <w:rPr>
          <w:rFonts w:ascii="Minion Pro" w:hAnsi="Minion Pro" w:cs="Times New Roman"/>
          <w:iCs/>
          <w:sz w:val="24"/>
          <w:szCs w:val="24"/>
          <w:lang w:val="en-US"/>
        </w:rPr>
        <w:t xml:space="preserve"> ulama yang </w:t>
      </w:r>
      <w:proofErr w:type="spellStart"/>
      <w:r w:rsidRPr="00C27059">
        <w:rPr>
          <w:rFonts w:ascii="Minion Pro" w:hAnsi="Minion Pro" w:cs="Times New Roman"/>
          <w:iCs/>
          <w:sz w:val="24"/>
          <w:szCs w:val="24"/>
          <w:lang w:val="en-US"/>
        </w:rPr>
        <w:t>ketat</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
          <w:iCs/>
          <w:sz w:val="24"/>
          <w:szCs w:val="24"/>
          <w:lang w:val="en-US"/>
        </w:rPr>
        <w:t>tasydīd</w:t>
      </w:r>
      <w:proofErr w:type="spellEnd"/>
      <w:r w:rsidRPr="00C27059">
        <w:rPr>
          <w:rFonts w:ascii="Minion Pro" w:hAnsi="Minion Pro" w:cs="Times New Roman"/>
          <w:iCs/>
          <w:sz w:val="24"/>
          <w:szCs w:val="24"/>
          <w:lang w:val="en-US"/>
        </w:rPr>
        <w:t xml:space="preserve">) dan </w:t>
      </w:r>
      <w:proofErr w:type="spellStart"/>
      <w:r w:rsidRPr="00C27059">
        <w:rPr>
          <w:rFonts w:ascii="Minion Pro" w:hAnsi="Minion Pro" w:cs="Times New Roman"/>
          <w:iCs/>
          <w:sz w:val="24"/>
          <w:szCs w:val="24"/>
          <w:lang w:val="en-US"/>
        </w:rPr>
        <w:t>pendapat</w:t>
      </w:r>
      <w:proofErr w:type="spellEnd"/>
      <w:r w:rsidRPr="00C27059">
        <w:rPr>
          <w:rFonts w:ascii="Minion Pro" w:hAnsi="Minion Pro" w:cs="Times New Roman"/>
          <w:iCs/>
          <w:sz w:val="24"/>
          <w:szCs w:val="24"/>
          <w:lang w:val="en-US"/>
        </w:rPr>
        <w:t xml:space="preserve"> yang </w:t>
      </w:r>
      <w:proofErr w:type="spellStart"/>
      <w:r w:rsidRPr="00C27059">
        <w:rPr>
          <w:rFonts w:ascii="Minion Pro" w:hAnsi="Minion Pro" w:cs="Times New Roman"/>
          <w:iCs/>
          <w:sz w:val="24"/>
          <w:szCs w:val="24"/>
          <w:lang w:val="en-US"/>
        </w:rPr>
        <w:t>longgar</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
          <w:iCs/>
          <w:sz w:val="24"/>
          <w:szCs w:val="24"/>
          <w:lang w:val="en-US"/>
        </w:rPr>
        <w:t>takhfīf</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harus</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dikembalikan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kepada</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pertimbangan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kemaslahatan</w:t>
      </w:r>
      <w:proofErr w:type="spellEnd"/>
      <w:r w:rsidRPr="00C27059">
        <w:rPr>
          <w:rFonts w:ascii="Minion Pro" w:hAnsi="Minion Pro" w:cs="Times New Roman"/>
          <w:iCs/>
          <w:sz w:val="24"/>
          <w:szCs w:val="24"/>
          <w:lang w:val="en-US"/>
        </w:rPr>
        <w:t xml:space="preserve"> dan </w:t>
      </w:r>
      <w:proofErr w:type="spellStart"/>
      <w:r w:rsidRPr="00C27059">
        <w:rPr>
          <w:rFonts w:ascii="Minion Pro" w:hAnsi="Minion Pro" w:cs="Times New Roman"/>
          <w:iCs/>
          <w:sz w:val="24"/>
          <w:szCs w:val="24"/>
          <w:lang w:val="en-US"/>
        </w:rPr>
        <w:t>tuntutan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kondisi</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aktual</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
          <w:iCs/>
          <w:sz w:val="24"/>
          <w:szCs w:val="24"/>
          <w:lang w:val="en-US"/>
        </w:rPr>
        <w:t>martabatai</w:t>
      </w:r>
      <w:proofErr w:type="spellEnd"/>
      <w:r w:rsidRPr="00C27059">
        <w:rPr>
          <w:rFonts w:ascii="Minion Pro" w:hAnsi="Minion Pro" w:cs="Times New Roman"/>
          <w:i/>
          <w:iCs/>
          <w:sz w:val="24"/>
          <w:szCs w:val="24"/>
          <w:lang w:val="en-US"/>
        </w:rPr>
        <w:t xml:space="preserve"> al-</w:t>
      </w:r>
      <w:proofErr w:type="spellStart"/>
      <w:r w:rsidRPr="00C27059">
        <w:rPr>
          <w:rFonts w:ascii="Minion Pro" w:hAnsi="Minion Pro" w:cs="Times New Roman"/>
          <w:i/>
          <w:iCs/>
          <w:sz w:val="24"/>
          <w:szCs w:val="24"/>
          <w:lang w:val="en-US"/>
        </w:rPr>
        <w:t>mīzān</w:t>
      </w:r>
      <w:proofErr w:type="spellEnd"/>
      <w:r w:rsidRPr="00C27059">
        <w:rPr>
          <w:rFonts w:ascii="Minion Pro" w:hAnsi="Minion Pro" w:cs="Times New Roman"/>
          <w:iCs/>
          <w:sz w:val="24"/>
          <w:szCs w:val="24"/>
          <w:lang w:val="en-US"/>
        </w:rPr>
        <w:t xml:space="preserve">). Skema </w:t>
      </w:r>
      <w:proofErr w:type="spellStart"/>
      <w:r w:rsidRPr="00C27059">
        <w:rPr>
          <w:rFonts w:ascii="Minion Pro" w:hAnsi="Minion Pro" w:cs="Times New Roman"/>
          <w:iCs/>
          <w:sz w:val="24"/>
          <w:szCs w:val="24"/>
          <w:lang w:val="en-US"/>
        </w:rPr>
        <w:t>berpikir</w:t>
      </w:r>
      <w:proofErr w:type="spellEnd"/>
      <w:r w:rsidRPr="00C27059">
        <w:rPr>
          <w:rFonts w:ascii="Minion Pro" w:hAnsi="Minion Pro" w:cs="Times New Roman"/>
          <w:iCs/>
          <w:sz w:val="24"/>
          <w:szCs w:val="24"/>
          <w:lang w:val="en-US"/>
        </w:rPr>
        <w:t xml:space="preserve"> yang </w:t>
      </w:r>
      <w:proofErr w:type="spellStart"/>
      <w:r w:rsidRPr="00C27059">
        <w:rPr>
          <w:rFonts w:ascii="Minion Pro" w:hAnsi="Minion Pro" w:cs="Times New Roman"/>
          <w:iCs/>
          <w:sz w:val="24"/>
          <w:szCs w:val="24"/>
          <w:lang w:val="en-US"/>
        </w:rPr>
        <w:t>bersifat</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eklektik</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ini</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dipakai</w:t>
      </w:r>
      <w:proofErr w:type="spellEnd"/>
      <w:r w:rsidRPr="00C27059">
        <w:rPr>
          <w:rFonts w:ascii="Minion Pro" w:hAnsi="Minion Pro" w:cs="Times New Roman"/>
          <w:iCs/>
          <w:sz w:val="24"/>
          <w:szCs w:val="24"/>
          <w:lang w:val="en-US"/>
        </w:rPr>
        <w:t xml:space="preserve"> oleh </w:t>
      </w:r>
      <w:proofErr w:type="spellStart"/>
      <w:r w:rsidRPr="00C27059">
        <w:rPr>
          <w:rFonts w:ascii="Minion Pro" w:hAnsi="Minion Pro" w:cs="Times New Roman"/>
          <w:iCs/>
          <w:sz w:val="24"/>
          <w:szCs w:val="24"/>
          <w:lang w:val="en-US"/>
        </w:rPr>
        <w:t>kiai-kiai</w:t>
      </w:r>
      <w:proofErr w:type="spellEnd"/>
      <w:r w:rsidRPr="00C27059">
        <w:rPr>
          <w:rFonts w:ascii="Minion Pro" w:hAnsi="Minion Pro" w:cs="Times New Roman"/>
          <w:iCs/>
          <w:sz w:val="24"/>
          <w:szCs w:val="24"/>
          <w:lang w:val="en-US"/>
        </w:rPr>
        <w:t xml:space="preserve"> NU </w:t>
      </w:r>
      <w:proofErr w:type="spellStart"/>
      <w:r w:rsidRPr="00C27059">
        <w:rPr>
          <w:rFonts w:ascii="Minion Pro" w:hAnsi="Minion Pro" w:cs="Times New Roman"/>
          <w:iCs/>
          <w:sz w:val="24"/>
          <w:szCs w:val="24"/>
          <w:lang w:val="en-US"/>
        </w:rPr>
        <w:t>ketika</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itu</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untuk</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membuka</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ruang</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bagi</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penerapan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pendapat</w:t>
      </w:r>
      <w:proofErr w:type="spellEnd"/>
      <w:r w:rsidRPr="00C27059">
        <w:rPr>
          <w:rFonts w:ascii="Minion Pro" w:hAnsi="Minion Pro" w:cs="Times New Roman"/>
          <w:iCs/>
          <w:sz w:val="24"/>
          <w:szCs w:val="24"/>
          <w:lang w:val="en-US"/>
        </w:rPr>
        <w:t xml:space="preserve"> yang paling </w:t>
      </w:r>
      <w:proofErr w:type="spellStart"/>
      <w:r w:rsidRPr="00C27059">
        <w:rPr>
          <w:rFonts w:ascii="Minion Pro" w:hAnsi="Minion Pro" w:cs="Times New Roman"/>
          <w:iCs/>
          <w:sz w:val="24"/>
          <w:szCs w:val="24"/>
          <w:lang w:val="en-US"/>
        </w:rPr>
        <w:t>longgar</w:t>
      </w:r>
      <w:proofErr w:type="spellEnd"/>
      <w:r w:rsidRPr="00C27059">
        <w:rPr>
          <w:rFonts w:ascii="Minion Pro" w:hAnsi="Minion Pro" w:cs="Times New Roman"/>
          <w:iCs/>
          <w:sz w:val="24"/>
          <w:szCs w:val="24"/>
          <w:lang w:val="en-US"/>
        </w:rPr>
        <w:t>—</w:t>
      </w:r>
      <w:proofErr w:type="spellStart"/>
      <w:r w:rsidRPr="00C27059">
        <w:rPr>
          <w:rFonts w:ascii="Minion Pro" w:hAnsi="Minion Pro" w:cs="Times New Roman"/>
          <w:iCs/>
          <w:sz w:val="24"/>
          <w:szCs w:val="24"/>
          <w:lang w:val="en-US"/>
        </w:rPr>
        <w:t>yakni</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pendapat</w:t>
      </w:r>
      <w:proofErr w:type="spellEnd"/>
      <w:r w:rsidRPr="00C27059">
        <w:rPr>
          <w:rFonts w:ascii="Minion Pro" w:hAnsi="Minion Pro" w:cs="Times New Roman"/>
          <w:iCs/>
          <w:sz w:val="24"/>
          <w:szCs w:val="24"/>
          <w:lang w:val="en-US"/>
        </w:rPr>
        <w:t xml:space="preserve"> Ibn </w:t>
      </w:r>
      <w:proofErr w:type="spellStart"/>
      <w:r w:rsidRPr="00C27059">
        <w:rPr>
          <w:rFonts w:ascii="Minion Pro" w:hAnsi="Minion Pro" w:cs="Times New Roman"/>
          <w:iCs/>
          <w:sz w:val="24"/>
          <w:szCs w:val="24"/>
          <w:lang w:val="en-US"/>
        </w:rPr>
        <w:t>Jarīr</w:t>
      </w:r>
      <w:proofErr w:type="spellEnd"/>
      <w:r w:rsidRPr="00C27059">
        <w:rPr>
          <w:rFonts w:ascii="Minion Pro" w:hAnsi="Minion Pro" w:cs="Times New Roman"/>
          <w:iCs/>
          <w:sz w:val="24"/>
          <w:szCs w:val="24"/>
          <w:lang w:val="en-US"/>
        </w:rPr>
        <w:t xml:space="preserve"> a</w:t>
      </w:r>
      <w:r w:rsidRPr="00C27059">
        <w:rPr>
          <w:rFonts w:ascii="Minion Pro" w:hAnsi="Minion Pro" w:cs="Times New Roman"/>
          <w:iCs/>
          <w:sz w:val="24"/>
          <w:szCs w:val="24"/>
        </w:rPr>
        <w:t>l</w:t>
      </w:r>
      <w:r w:rsidRPr="00C27059">
        <w:rPr>
          <w:rFonts w:ascii="Minion Pro" w:hAnsi="Minion Pro" w:cs="Times New Roman"/>
          <w:iCs/>
          <w:sz w:val="24"/>
          <w:szCs w:val="24"/>
          <w:lang w:val="en-US"/>
        </w:rPr>
        <w:t>-</w:t>
      </w:r>
      <w:r w:rsidRPr="00C27059">
        <w:rPr>
          <w:rFonts w:ascii="Minion Pro" w:hAnsi="Minion Pro" w:cs="Times New Roman"/>
          <w:iCs/>
          <w:sz w:val="24"/>
          <w:szCs w:val="24"/>
        </w:rPr>
        <w:t>Th</w:t>
      </w:r>
      <w:proofErr w:type="spellStart"/>
      <w:r w:rsidRPr="00C27059">
        <w:rPr>
          <w:rFonts w:ascii="Minion Pro" w:hAnsi="Minion Pro" w:cs="Times New Roman"/>
          <w:iCs/>
          <w:sz w:val="24"/>
          <w:szCs w:val="24"/>
          <w:lang w:val="en-US"/>
        </w:rPr>
        <w:t>abarī</w:t>
      </w:r>
      <w:proofErr w:type="spellEnd"/>
      <w:r w:rsidRPr="00C27059">
        <w:rPr>
          <w:rFonts w:ascii="Minion Pro" w:hAnsi="Minion Pro" w:cs="Times New Roman"/>
          <w:iCs/>
          <w:sz w:val="24"/>
          <w:szCs w:val="24"/>
          <w:lang w:val="en-US"/>
        </w:rPr>
        <w:t xml:space="preserve"> (w. 923)—</w:t>
      </w:r>
      <w:proofErr w:type="spellStart"/>
      <w:r w:rsidRPr="00C27059">
        <w:rPr>
          <w:rFonts w:ascii="Minion Pro" w:hAnsi="Minion Pro" w:cs="Times New Roman"/>
          <w:iCs/>
          <w:sz w:val="24"/>
          <w:szCs w:val="24"/>
          <w:lang w:val="en-US"/>
        </w:rPr>
        <w:t>dari</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tiga</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pendapat</w:t>
      </w:r>
      <w:proofErr w:type="spellEnd"/>
      <w:r w:rsidRPr="00C27059">
        <w:rPr>
          <w:rFonts w:ascii="Minion Pro" w:hAnsi="Minion Pro" w:cs="Times New Roman"/>
          <w:iCs/>
          <w:sz w:val="24"/>
          <w:szCs w:val="24"/>
          <w:lang w:val="en-US"/>
        </w:rPr>
        <w:t xml:space="preserve"> yang </w:t>
      </w:r>
      <w:proofErr w:type="spellStart"/>
      <w:r w:rsidRPr="00C27059">
        <w:rPr>
          <w:rFonts w:ascii="Minion Pro" w:hAnsi="Minion Pro" w:cs="Times New Roman"/>
          <w:iCs/>
          <w:sz w:val="24"/>
          <w:szCs w:val="24"/>
          <w:lang w:val="en-US"/>
        </w:rPr>
        <w:t>tercantum</w:t>
      </w:r>
      <w:proofErr w:type="spellEnd"/>
      <w:r w:rsidRPr="00C27059">
        <w:rPr>
          <w:rFonts w:ascii="Minion Pro" w:hAnsi="Minion Pro" w:cs="Times New Roman"/>
          <w:iCs/>
          <w:sz w:val="24"/>
          <w:szCs w:val="24"/>
          <w:lang w:val="en-US"/>
        </w:rPr>
        <w:t xml:space="preserve"> pada </w:t>
      </w:r>
      <w:proofErr w:type="spellStart"/>
      <w:r w:rsidRPr="00C27059">
        <w:rPr>
          <w:rFonts w:ascii="Minion Pro" w:hAnsi="Minion Pro" w:cs="Times New Roman"/>
          <w:iCs/>
          <w:sz w:val="24"/>
          <w:szCs w:val="24"/>
          <w:lang w:val="en-US"/>
        </w:rPr>
        <w:t>referensi</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lain</w:t>
      </w:r>
      <w:proofErr w:type="spellEnd"/>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yaitu</w:t>
      </w:r>
      <w:proofErr w:type="spellEnd"/>
      <w:r w:rsidRPr="00C27059">
        <w:rPr>
          <w:rFonts w:ascii="Minion Pro" w:hAnsi="Minion Pro" w:cs="Times New Roman"/>
          <w:iCs/>
          <w:sz w:val="24"/>
          <w:szCs w:val="24"/>
          <w:lang w:val="en-US"/>
        </w:rPr>
        <w:t xml:space="preserve"> kitab </w:t>
      </w:r>
      <w:proofErr w:type="spellStart"/>
      <w:r w:rsidRPr="00C27059">
        <w:rPr>
          <w:rFonts w:ascii="Minion Pro" w:hAnsi="Minion Pro" w:cs="Times New Roman"/>
          <w:i/>
          <w:iCs/>
          <w:sz w:val="24"/>
          <w:szCs w:val="24"/>
          <w:lang w:val="en-US"/>
        </w:rPr>
        <w:t>Bidāyah</w:t>
      </w:r>
      <w:proofErr w:type="spellEnd"/>
      <w:r w:rsidRPr="00C27059">
        <w:rPr>
          <w:rFonts w:ascii="Minion Pro" w:hAnsi="Minion Pro" w:cs="Times New Roman"/>
          <w:i/>
          <w:iCs/>
          <w:sz w:val="24"/>
          <w:szCs w:val="24"/>
          <w:lang w:val="en-US"/>
        </w:rPr>
        <w:t xml:space="preserve"> al-Mujtahid</w:t>
      </w:r>
      <w:r w:rsidRPr="00C27059">
        <w:rPr>
          <w:rFonts w:ascii="Minion Pro" w:hAnsi="Minion Pro" w:cs="Times New Roman"/>
          <w:iCs/>
          <w:sz w:val="24"/>
          <w:szCs w:val="24"/>
          <w:lang w:val="en-US"/>
        </w:rPr>
        <w:t xml:space="preserve"> </w:t>
      </w:r>
      <w:proofErr w:type="spellStart"/>
      <w:r w:rsidRPr="00C27059">
        <w:rPr>
          <w:rFonts w:ascii="Minion Pro" w:hAnsi="Minion Pro" w:cs="Times New Roman"/>
          <w:iCs/>
          <w:sz w:val="24"/>
          <w:szCs w:val="24"/>
          <w:lang w:val="en-US"/>
        </w:rPr>
        <w:t>karya</w:t>
      </w:r>
      <w:proofErr w:type="spellEnd"/>
      <w:r w:rsidRPr="00C27059">
        <w:rPr>
          <w:rFonts w:ascii="Minion Pro" w:hAnsi="Minion Pro" w:cs="Times New Roman"/>
          <w:iCs/>
          <w:sz w:val="24"/>
          <w:szCs w:val="24"/>
          <w:lang w:val="en-US"/>
        </w:rPr>
        <w:t xml:space="preserve"> Ibn </w:t>
      </w:r>
      <w:proofErr w:type="spellStart"/>
      <w:r w:rsidRPr="00C27059">
        <w:rPr>
          <w:rFonts w:ascii="Minion Pro" w:hAnsi="Minion Pro" w:cs="Times New Roman"/>
          <w:iCs/>
          <w:sz w:val="24"/>
          <w:szCs w:val="24"/>
          <w:lang w:val="en-US"/>
        </w:rPr>
        <w:t>Rusyd</w:t>
      </w:r>
      <w:proofErr w:type="spellEnd"/>
      <w:r w:rsidRPr="00C27059">
        <w:rPr>
          <w:rFonts w:ascii="Minion Pro" w:hAnsi="Minion Pro" w:cs="Times New Roman"/>
          <w:iCs/>
          <w:sz w:val="24"/>
          <w:szCs w:val="24"/>
          <w:lang w:val="en-US"/>
        </w:rPr>
        <w:t xml:space="preserve"> (w. 1198).</w:t>
      </w:r>
      <w:r w:rsidRPr="00C27059">
        <w:rPr>
          <w:rFonts w:ascii="Minion Pro" w:hAnsi="Minion Pro" w:cs="Times New Roman"/>
          <w:iCs/>
          <w:sz w:val="24"/>
          <w:szCs w:val="24"/>
          <w:vertAlign w:val="superscript"/>
          <w:lang w:val="en-US"/>
        </w:rPr>
        <w:footnoteReference w:id="43"/>
      </w:r>
    </w:p>
    <w:p w14:paraId="4171DC22" w14:textId="41195D2B" w:rsidR="00C22542" w:rsidRPr="00786D9B" w:rsidRDefault="007003D7" w:rsidP="007003D7">
      <w:pPr>
        <w:pStyle w:val="ListParagraph"/>
        <w:numPr>
          <w:ilvl w:val="1"/>
          <w:numId w:val="1"/>
        </w:numPr>
        <w:spacing w:line="240" w:lineRule="auto"/>
        <w:ind w:left="567" w:hanging="567"/>
        <w:jc w:val="both"/>
        <w:rPr>
          <w:rFonts w:ascii="Minion Pro" w:hAnsi="Minion Pro" w:cs="Times New Roman"/>
          <w:b/>
          <w:bCs/>
          <w:iCs/>
          <w:sz w:val="24"/>
          <w:szCs w:val="24"/>
        </w:rPr>
      </w:pPr>
      <w:proofErr w:type="spellStart"/>
      <w:r w:rsidRPr="007003D7">
        <w:rPr>
          <w:rFonts w:ascii="Minion Pro" w:hAnsi="Minion Pro" w:cs="Times New Roman"/>
          <w:b/>
          <w:bCs/>
          <w:iCs/>
          <w:sz w:val="24"/>
          <w:szCs w:val="24"/>
          <w:lang w:val="en-US"/>
        </w:rPr>
        <w:t>Pengelolaan</w:t>
      </w:r>
      <w:proofErr w:type="spellEnd"/>
      <w:r w:rsidRPr="007003D7">
        <w:rPr>
          <w:rFonts w:ascii="Minion Pro" w:hAnsi="Minion Pro" w:cs="Times New Roman"/>
          <w:b/>
          <w:bCs/>
          <w:iCs/>
          <w:sz w:val="24"/>
          <w:szCs w:val="24"/>
        </w:rPr>
        <w:t xml:space="preserve"> Zakat Produktif</w:t>
      </w:r>
      <w:r w:rsidRPr="007003D7">
        <w:rPr>
          <w:rFonts w:ascii="Minion Pro" w:hAnsi="Minion Pro" w:cs="Times New Roman"/>
          <w:b/>
          <w:bCs/>
          <w:iCs/>
          <w:sz w:val="24"/>
          <w:szCs w:val="24"/>
          <w:lang w:val="en-US"/>
        </w:rPr>
        <w:t xml:space="preserve"> </w:t>
      </w:r>
    </w:p>
    <w:p w14:paraId="16DD9A7D" w14:textId="623CB751" w:rsidR="00C22542" w:rsidRDefault="00E04F56" w:rsidP="00E04F56">
      <w:pPr>
        <w:spacing w:line="240" w:lineRule="auto"/>
        <w:jc w:val="both"/>
        <w:rPr>
          <w:rFonts w:ascii="Minion Pro" w:hAnsi="Minion Pro" w:cs="Times New Roman"/>
          <w:iCs/>
          <w:sz w:val="24"/>
          <w:szCs w:val="24"/>
          <w:lang w:val="en-US"/>
        </w:rPr>
      </w:pPr>
      <w:r w:rsidRPr="00E04F56">
        <w:rPr>
          <w:rFonts w:ascii="Minion Pro" w:hAnsi="Minion Pro" w:cs="Times New Roman"/>
          <w:iCs/>
          <w:sz w:val="24"/>
          <w:szCs w:val="24"/>
        </w:rPr>
        <w:t xml:space="preserve">Tema lain dari fatwa-fatwa hasil Bahtsul Masail yang juga penting untuk disinggung adalah </w:t>
      </w:r>
      <w:proofErr w:type="spellStart"/>
      <w:r w:rsidRPr="00E04F56">
        <w:rPr>
          <w:rFonts w:ascii="Minion Pro" w:hAnsi="Minion Pro" w:cs="Times New Roman"/>
          <w:iCs/>
          <w:sz w:val="24"/>
          <w:szCs w:val="24"/>
          <w:lang w:val="en-US"/>
        </w:rPr>
        <w:t>pengelolaan</w:t>
      </w:r>
      <w:proofErr w:type="spellEnd"/>
      <w:r w:rsidRPr="00E04F56">
        <w:rPr>
          <w:rFonts w:ascii="Minion Pro" w:hAnsi="Minion Pro" w:cs="Times New Roman"/>
          <w:iCs/>
          <w:sz w:val="24"/>
          <w:szCs w:val="24"/>
        </w:rPr>
        <w:t xml:space="preserve"> zakat produktif. Seperti telah ditulis oleh Adib dan Hasbullah (2020),</w:t>
      </w:r>
      <w:r w:rsidRPr="00E04F56">
        <w:rPr>
          <w:rFonts w:ascii="Minion Pro" w:hAnsi="Minion Pro" w:cs="Times New Roman"/>
          <w:iCs/>
          <w:sz w:val="24"/>
          <w:szCs w:val="24"/>
          <w:vertAlign w:val="superscript"/>
        </w:rPr>
        <w:footnoteReference w:id="44"/>
      </w:r>
      <w:r w:rsidRPr="00E04F56">
        <w:rPr>
          <w:rFonts w:ascii="Minion Pro" w:hAnsi="Minion Pro" w:cs="Times New Roman"/>
          <w:iCs/>
          <w:sz w:val="24"/>
          <w:szCs w:val="24"/>
        </w:rPr>
        <w:t xml:space="preserve"> tema ini telah dibahas dalam dua kali edisi Bahtsul Masail dengan keputusan fatwa yang berbeda atau bahkan berkebalikan. Bahtsul Masail edisi tahun 1984 menghasilkan fatwa tidak boleh (</w:t>
      </w:r>
      <w:r w:rsidRPr="00E04F56">
        <w:rPr>
          <w:rFonts w:ascii="Minion Pro" w:hAnsi="Minion Pro" w:cs="Times New Roman"/>
          <w:i/>
          <w:iCs/>
          <w:sz w:val="24"/>
          <w:szCs w:val="24"/>
        </w:rPr>
        <w:t>lā yajūz</w:t>
      </w:r>
      <w:r w:rsidRPr="00E04F56">
        <w:rPr>
          <w:rFonts w:ascii="Minion Pro" w:hAnsi="Minion Pro" w:cs="Times New Roman"/>
          <w:iCs/>
          <w:sz w:val="24"/>
          <w:szCs w:val="24"/>
        </w:rPr>
        <w:t xml:space="preserve">) terhadap pengelolaan zakat produktif. Referensinya adalah teks fatwa dalam kitab </w:t>
      </w:r>
      <w:r w:rsidRPr="00E04F56">
        <w:rPr>
          <w:rFonts w:ascii="Minion Pro" w:hAnsi="Minion Pro" w:cs="Times New Roman"/>
          <w:i/>
          <w:iCs/>
          <w:sz w:val="24"/>
          <w:szCs w:val="24"/>
        </w:rPr>
        <w:t>al-Muhadzdzab</w:t>
      </w:r>
      <w:r w:rsidRPr="00E04F56">
        <w:rPr>
          <w:rFonts w:ascii="Minion Pro" w:hAnsi="Minion Pro" w:cs="Times New Roman"/>
          <w:iCs/>
          <w:sz w:val="24"/>
          <w:szCs w:val="24"/>
        </w:rPr>
        <w:t xml:space="preserve"> karya Abū Ishāq al-Syīrāzī (w. 1083) yang dengan tegas menyebutkan hukum tidak boleh. Teksnya adalah:</w:t>
      </w:r>
    </w:p>
    <w:p w14:paraId="207FCF3D" w14:textId="77777777" w:rsidR="00E04F56" w:rsidRPr="00E04F56" w:rsidRDefault="00E04F56" w:rsidP="007C2769">
      <w:pPr>
        <w:bidi/>
        <w:spacing w:line="240" w:lineRule="auto"/>
        <w:ind w:left="496" w:right="426"/>
        <w:jc w:val="both"/>
        <w:rPr>
          <w:rFonts w:ascii="Sakkal Majalla" w:hAnsi="Sakkal Majalla" w:cs="Sakkal Majalla"/>
          <w:i/>
          <w:sz w:val="28"/>
          <w:szCs w:val="28"/>
          <w:lang w:val="en-US"/>
        </w:rPr>
      </w:pPr>
      <w:r w:rsidRPr="00E04F56">
        <w:rPr>
          <w:rFonts w:ascii="Sakkal Majalla" w:hAnsi="Sakkal Majalla" w:cs="Sakkal Majalla"/>
          <w:i/>
          <w:sz w:val="28"/>
          <w:szCs w:val="28"/>
          <w:rtl/>
        </w:rPr>
        <w:lastRenderedPageBreak/>
        <w:t>ولا يجوز للساعي ولا للإمام أن يتصرف فيما يحصل عنده من الفرائض حتى يوصلها إلى أهلها لأن الفقراء أهل رشد لا يوالي عليهم فلا يجوز التصرف في مالهم بغير إذنهم.</w:t>
      </w:r>
    </w:p>
    <w:p w14:paraId="024A53F5" w14:textId="77777777" w:rsidR="00E04F56" w:rsidRPr="00E04F56" w:rsidRDefault="00E04F56" w:rsidP="00E04F56">
      <w:pPr>
        <w:spacing w:line="240" w:lineRule="auto"/>
        <w:jc w:val="both"/>
        <w:rPr>
          <w:rFonts w:ascii="Minion Pro" w:hAnsi="Minion Pro" w:cs="Times New Roman"/>
          <w:iCs/>
          <w:sz w:val="24"/>
          <w:szCs w:val="24"/>
        </w:rPr>
      </w:pPr>
      <w:r w:rsidRPr="00E04F56">
        <w:rPr>
          <w:rFonts w:ascii="Minion Pro" w:hAnsi="Minion Pro" w:cs="Times New Roman"/>
          <w:iCs/>
          <w:sz w:val="24"/>
          <w:szCs w:val="24"/>
        </w:rPr>
        <w:t xml:space="preserve">Lima tahun berselang, yakni tahun 1989, Bahtsul Masal menghasilkan fatwa yang berlawanan dengan serta sekaligus menjadi revisi terhadap fatwa edisi tahun 1984. Fatwa edisi Muktamar di Krapyak, Yogyakarta, tersebut menegaskan hukum boleh dengan penambahan syarat yang diambil dari teks fatwa dalam kitab </w:t>
      </w:r>
      <w:r w:rsidRPr="00E04F56">
        <w:rPr>
          <w:rFonts w:ascii="Minion Pro" w:hAnsi="Minion Pro" w:cs="Times New Roman"/>
          <w:i/>
          <w:iCs/>
          <w:sz w:val="24"/>
          <w:szCs w:val="24"/>
        </w:rPr>
        <w:t>al-Muhadzdzab</w:t>
      </w:r>
      <w:r w:rsidRPr="00E04F56">
        <w:rPr>
          <w:rFonts w:ascii="Minion Pro" w:hAnsi="Minion Pro" w:cs="Times New Roman"/>
          <w:iCs/>
          <w:sz w:val="24"/>
          <w:szCs w:val="24"/>
        </w:rPr>
        <w:t xml:space="preserve"> di atas, yaitu persyaratan mendapatkan izin dari para </w:t>
      </w:r>
      <w:r w:rsidRPr="00E04F56">
        <w:rPr>
          <w:rFonts w:ascii="Minion Pro" w:hAnsi="Minion Pro" w:cs="Times New Roman"/>
          <w:i/>
          <w:iCs/>
          <w:sz w:val="24"/>
          <w:szCs w:val="24"/>
        </w:rPr>
        <w:t>mustahiq</w:t>
      </w:r>
      <w:r w:rsidRPr="00E04F56">
        <w:rPr>
          <w:rFonts w:ascii="Minion Pro" w:hAnsi="Minion Pro" w:cs="Times New Roman"/>
          <w:iCs/>
          <w:sz w:val="24"/>
          <w:szCs w:val="24"/>
        </w:rPr>
        <w:t xml:space="preserve"> zakat.</w:t>
      </w:r>
    </w:p>
    <w:p w14:paraId="78839AEB" w14:textId="77777777" w:rsidR="00E04F56" w:rsidRPr="00E04F56" w:rsidRDefault="00E04F56" w:rsidP="007C2769">
      <w:pPr>
        <w:spacing w:after="0" w:line="240" w:lineRule="auto"/>
        <w:jc w:val="both"/>
        <w:rPr>
          <w:rFonts w:ascii="Minion Pro" w:hAnsi="Minion Pro" w:cs="Times New Roman"/>
          <w:iCs/>
          <w:sz w:val="24"/>
          <w:szCs w:val="24"/>
        </w:rPr>
      </w:pPr>
      <w:r w:rsidRPr="00E04F56">
        <w:rPr>
          <w:rFonts w:ascii="Minion Pro" w:hAnsi="Minion Pro" w:cs="Times New Roman"/>
          <w:iCs/>
          <w:sz w:val="24"/>
          <w:szCs w:val="24"/>
        </w:rPr>
        <w:t xml:space="preserve">Poin penting yang bisa dipahami dari revisi fatwa pada edisi tahun 1989 tersebut adalah kuatnya pertimbangan kemaslahatan dalam tradisi berpikir kiai-kiai NU. Artinya, sekalipun terlihat menggunakan metode </w:t>
      </w:r>
      <w:r w:rsidRPr="00E04F56">
        <w:rPr>
          <w:rFonts w:ascii="Minion Pro" w:hAnsi="Minion Pro" w:cs="Times New Roman"/>
          <w:i/>
          <w:iCs/>
          <w:sz w:val="24"/>
          <w:szCs w:val="24"/>
        </w:rPr>
        <w:t>qaulī</w:t>
      </w:r>
      <w:r w:rsidRPr="00E04F56">
        <w:rPr>
          <w:rFonts w:ascii="Minion Pro" w:hAnsi="Minion Pro" w:cs="Times New Roman"/>
          <w:iCs/>
          <w:sz w:val="24"/>
          <w:szCs w:val="24"/>
        </w:rPr>
        <w:t xml:space="preserve">, kiai-kiai NU dalam Bahtsul Masail secara tersirat juga menggunakan metode </w:t>
      </w:r>
      <w:r w:rsidRPr="00E04F56">
        <w:rPr>
          <w:rFonts w:ascii="Minion Pro" w:hAnsi="Minion Pro" w:cs="Times New Roman"/>
          <w:i/>
          <w:iCs/>
          <w:sz w:val="24"/>
          <w:szCs w:val="24"/>
        </w:rPr>
        <w:t>manhajī</w:t>
      </w:r>
      <w:r w:rsidRPr="00E04F56">
        <w:rPr>
          <w:rFonts w:ascii="Minion Pro" w:hAnsi="Minion Pro" w:cs="Times New Roman"/>
          <w:iCs/>
          <w:sz w:val="24"/>
          <w:szCs w:val="24"/>
        </w:rPr>
        <w:t>, yakni pertimbangan kemaslahatan. Seperti dinyatakan oleh Adib (2018), dimensi dinamisasi dalam struktur berpikir kiai-kiai NU bergelayut pada prinsip pemeliharaan kemaslahatan (</w:t>
      </w:r>
      <w:r w:rsidRPr="00E04F56">
        <w:rPr>
          <w:rFonts w:ascii="Minion Pro" w:hAnsi="Minion Pro" w:cs="Times New Roman"/>
          <w:i/>
          <w:iCs/>
          <w:sz w:val="24"/>
          <w:szCs w:val="24"/>
        </w:rPr>
        <w:t>ri‘āyah al-mashlahah</w:t>
      </w:r>
      <w:r w:rsidRPr="00E04F56">
        <w:rPr>
          <w:rFonts w:ascii="Minion Pro" w:hAnsi="Minion Pro" w:cs="Times New Roman"/>
          <w:iCs/>
          <w:sz w:val="24"/>
          <w:szCs w:val="24"/>
        </w:rPr>
        <w:t>) dan budaya lokal atau realitas sosial (</w:t>
      </w:r>
      <w:r w:rsidRPr="00E04F56">
        <w:rPr>
          <w:rFonts w:ascii="Minion Pro" w:hAnsi="Minion Pro" w:cs="Times New Roman"/>
          <w:i/>
          <w:iCs/>
          <w:sz w:val="24"/>
          <w:szCs w:val="24"/>
        </w:rPr>
        <w:t>ri‘āyah al-‘urf</w:t>
      </w:r>
      <w:r w:rsidRPr="00E04F56">
        <w:rPr>
          <w:rFonts w:ascii="Minion Pro" w:hAnsi="Minion Pro" w:cs="Times New Roman"/>
          <w:iCs/>
          <w:sz w:val="24"/>
          <w:szCs w:val="24"/>
        </w:rPr>
        <w:t>). Prinsip tersebut bermuara pada realisasi kesejahteraan dan antisipasi kesulitan publik. Dalam tradisi berpikir kiai-kiai NU, prinsip tersebut tercermin dari ragam kaidah fikih (</w:t>
      </w:r>
      <w:r w:rsidRPr="00E04F56">
        <w:rPr>
          <w:rFonts w:ascii="Minion Pro" w:hAnsi="Minion Pro" w:cs="Times New Roman"/>
          <w:i/>
          <w:iCs/>
          <w:sz w:val="24"/>
          <w:szCs w:val="24"/>
        </w:rPr>
        <w:t>qawā‘id fiqhiyyah</w:t>
      </w:r>
      <w:r w:rsidRPr="00E04F56">
        <w:rPr>
          <w:rFonts w:ascii="Minion Pro" w:hAnsi="Minion Pro" w:cs="Times New Roman"/>
          <w:iCs/>
          <w:sz w:val="24"/>
          <w:szCs w:val="24"/>
        </w:rPr>
        <w:t xml:space="preserve">) yang mereka gunakan sehari-hari, di satu sisi, serta mencerminkan kebijaksanaan tradisi berpikir mereka dalam masalah politik, sosial, dan keagamaan. Sebut saja, misalnya: </w:t>
      </w:r>
    </w:p>
    <w:p w14:paraId="6BDB1D0F" w14:textId="77777777" w:rsidR="00E04F56" w:rsidRPr="00E04F56" w:rsidRDefault="00E04F56" w:rsidP="007C2769">
      <w:pPr>
        <w:numPr>
          <w:ilvl w:val="0"/>
          <w:numId w:val="38"/>
        </w:numPr>
        <w:spacing w:after="0" w:line="240" w:lineRule="auto"/>
        <w:jc w:val="both"/>
        <w:rPr>
          <w:rFonts w:ascii="Minion Pro" w:hAnsi="Minion Pro" w:cs="Times New Roman"/>
          <w:iCs/>
          <w:sz w:val="24"/>
          <w:szCs w:val="24"/>
        </w:rPr>
      </w:pPr>
      <w:r w:rsidRPr="00E04F56">
        <w:rPr>
          <w:rFonts w:ascii="Minion Pro" w:hAnsi="Minion Pro" w:cs="Times New Roman"/>
          <w:iCs/>
          <w:sz w:val="24"/>
          <w:szCs w:val="24"/>
        </w:rPr>
        <w:t>Kaidah “bahaya harus dihilangkan” (</w:t>
      </w:r>
      <w:r w:rsidRPr="00E04F56">
        <w:rPr>
          <w:rFonts w:ascii="Minion Pro" w:hAnsi="Minion Pro" w:cs="Times New Roman"/>
          <w:i/>
          <w:iCs/>
          <w:sz w:val="24"/>
          <w:szCs w:val="24"/>
        </w:rPr>
        <w:t>al-dharar yuzāl</w:t>
      </w:r>
      <w:r w:rsidRPr="00E04F56">
        <w:rPr>
          <w:rFonts w:ascii="Minion Pro" w:hAnsi="Minion Pro" w:cs="Times New Roman"/>
          <w:iCs/>
          <w:sz w:val="24"/>
          <w:szCs w:val="24"/>
        </w:rPr>
        <w:t xml:space="preserve">); </w:t>
      </w:r>
    </w:p>
    <w:p w14:paraId="4FF6CAC0" w14:textId="77777777" w:rsidR="00E04F56" w:rsidRPr="00E04F56" w:rsidRDefault="00E04F56" w:rsidP="007C2769">
      <w:pPr>
        <w:numPr>
          <w:ilvl w:val="0"/>
          <w:numId w:val="38"/>
        </w:numPr>
        <w:spacing w:after="0" w:line="240" w:lineRule="auto"/>
        <w:jc w:val="both"/>
        <w:rPr>
          <w:rFonts w:ascii="Minion Pro" w:hAnsi="Minion Pro" w:cs="Times New Roman"/>
          <w:iCs/>
          <w:sz w:val="24"/>
          <w:szCs w:val="24"/>
        </w:rPr>
      </w:pPr>
      <w:r w:rsidRPr="00E04F56">
        <w:rPr>
          <w:rFonts w:ascii="Minion Pro" w:hAnsi="Minion Pro" w:cs="Times New Roman"/>
          <w:iCs/>
          <w:sz w:val="24"/>
          <w:szCs w:val="24"/>
        </w:rPr>
        <w:t>Kaidah “bahaya tidak boleh dihilangkan dengan bahaya lain” (</w:t>
      </w:r>
      <w:r w:rsidRPr="00E04F56">
        <w:rPr>
          <w:rFonts w:ascii="Minion Pro" w:hAnsi="Minion Pro" w:cs="Times New Roman"/>
          <w:i/>
          <w:iCs/>
          <w:sz w:val="24"/>
          <w:szCs w:val="24"/>
        </w:rPr>
        <w:t>al-dharar lā yuzāl bi al-dharar</w:t>
      </w:r>
      <w:r w:rsidRPr="00E04F56">
        <w:rPr>
          <w:rFonts w:ascii="Minion Pro" w:hAnsi="Minion Pro" w:cs="Times New Roman"/>
          <w:iCs/>
          <w:sz w:val="24"/>
          <w:szCs w:val="24"/>
        </w:rPr>
        <w:t xml:space="preserve">); </w:t>
      </w:r>
    </w:p>
    <w:p w14:paraId="49CCFCCB" w14:textId="77777777" w:rsidR="00E04F56" w:rsidRPr="00E04F56" w:rsidRDefault="00E04F56" w:rsidP="007C2769">
      <w:pPr>
        <w:numPr>
          <w:ilvl w:val="0"/>
          <w:numId w:val="38"/>
        </w:numPr>
        <w:spacing w:after="0" w:line="240" w:lineRule="auto"/>
        <w:jc w:val="both"/>
        <w:rPr>
          <w:rFonts w:ascii="Minion Pro" w:hAnsi="Minion Pro" w:cs="Times New Roman"/>
          <w:iCs/>
          <w:sz w:val="24"/>
          <w:szCs w:val="24"/>
        </w:rPr>
      </w:pPr>
      <w:r w:rsidRPr="00E04F56">
        <w:rPr>
          <w:rFonts w:ascii="Minion Pro" w:hAnsi="Minion Pro" w:cs="Times New Roman"/>
          <w:iCs/>
          <w:sz w:val="24"/>
          <w:szCs w:val="24"/>
        </w:rPr>
        <w:t>Kaidah “mencegah kerusakan didahulukan atas menarik kebaikan” (</w:t>
      </w:r>
      <w:r w:rsidRPr="00E04F56">
        <w:rPr>
          <w:rFonts w:ascii="Minion Pro" w:hAnsi="Minion Pro" w:cs="Times New Roman"/>
          <w:i/>
          <w:iCs/>
          <w:sz w:val="24"/>
          <w:szCs w:val="24"/>
        </w:rPr>
        <w:t>dar’ al-mafāsid muqaddam ‘alā jalb al-mashālih</w:t>
      </w:r>
      <w:r w:rsidRPr="00E04F56">
        <w:rPr>
          <w:rFonts w:ascii="Minion Pro" w:hAnsi="Minion Pro" w:cs="Times New Roman"/>
          <w:iCs/>
          <w:sz w:val="24"/>
          <w:szCs w:val="24"/>
        </w:rPr>
        <w:t xml:space="preserve">); </w:t>
      </w:r>
    </w:p>
    <w:p w14:paraId="580AD7CE" w14:textId="77777777" w:rsidR="00E04F56" w:rsidRPr="00E04F56" w:rsidRDefault="00E04F56" w:rsidP="007C2769">
      <w:pPr>
        <w:numPr>
          <w:ilvl w:val="0"/>
          <w:numId w:val="38"/>
        </w:numPr>
        <w:spacing w:after="0" w:line="240" w:lineRule="auto"/>
        <w:jc w:val="both"/>
        <w:rPr>
          <w:rFonts w:ascii="Minion Pro" w:hAnsi="Minion Pro" w:cs="Times New Roman"/>
          <w:iCs/>
          <w:sz w:val="24"/>
          <w:szCs w:val="24"/>
          <w:lang w:val="en-US"/>
        </w:rPr>
      </w:pPr>
      <w:r w:rsidRPr="00E04F56">
        <w:rPr>
          <w:rFonts w:ascii="Minion Pro" w:hAnsi="Minion Pro" w:cs="Times New Roman"/>
          <w:iCs/>
          <w:sz w:val="24"/>
          <w:szCs w:val="24"/>
        </w:rPr>
        <w:t>Kaidah “mengambil bahaya yang lebih ringan” (</w:t>
      </w:r>
      <w:r w:rsidRPr="00E04F56">
        <w:rPr>
          <w:rFonts w:ascii="Minion Pro" w:hAnsi="Minion Pro" w:cs="Times New Roman"/>
          <w:i/>
          <w:iCs/>
          <w:sz w:val="24"/>
          <w:szCs w:val="24"/>
        </w:rPr>
        <w:t>al-akhdz bi akhaff al-dhararain</w:t>
      </w:r>
      <w:r w:rsidRPr="00E04F56">
        <w:rPr>
          <w:rFonts w:ascii="Minion Pro" w:hAnsi="Minion Pro" w:cs="Times New Roman"/>
          <w:iCs/>
          <w:sz w:val="24"/>
          <w:szCs w:val="24"/>
        </w:rPr>
        <w:t xml:space="preserve">); </w:t>
      </w:r>
    </w:p>
    <w:p w14:paraId="3305CE6E" w14:textId="77777777" w:rsidR="00E04F56" w:rsidRPr="00E04F56" w:rsidRDefault="00E04F56" w:rsidP="007C2769">
      <w:pPr>
        <w:numPr>
          <w:ilvl w:val="0"/>
          <w:numId w:val="38"/>
        </w:numPr>
        <w:spacing w:after="0" w:line="240" w:lineRule="auto"/>
        <w:jc w:val="both"/>
        <w:rPr>
          <w:rFonts w:ascii="Minion Pro" w:hAnsi="Minion Pro" w:cs="Times New Roman"/>
          <w:iCs/>
          <w:sz w:val="24"/>
          <w:szCs w:val="24"/>
          <w:lang w:val="en-US"/>
        </w:rPr>
      </w:pPr>
      <w:r w:rsidRPr="00E04F56">
        <w:rPr>
          <w:rFonts w:ascii="Minion Pro" w:hAnsi="Minion Pro" w:cs="Times New Roman"/>
          <w:iCs/>
          <w:sz w:val="24"/>
          <w:szCs w:val="24"/>
        </w:rPr>
        <w:t>Kaidah “kesukaran membuka peluang bagi kelonggaran” (</w:t>
      </w:r>
      <w:r w:rsidRPr="00E04F56">
        <w:rPr>
          <w:rFonts w:ascii="Minion Pro" w:hAnsi="Minion Pro" w:cs="Times New Roman"/>
          <w:i/>
          <w:iCs/>
          <w:sz w:val="24"/>
          <w:szCs w:val="24"/>
        </w:rPr>
        <w:t>al-masyaqqah tajlib at-taisīr</w:t>
      </w:r>
      <w:r w:rsidRPr="00E04F56">
        <w:rPr>
          <w:rFonts w:ascii="Minion Pro" w:hAnsi="Minion Pro" w:cs="Times New Roman"/>
          <w:iCs/>
          <w:sz w:val="24"/>
          <w:szCs w:val="24"/>
        </w:rPr>
        <w:t xml:space="preserve">); </w:t>
      </w:r>
    </w:p>
    <w:p w14:paraId="00CD2E94" w14:textId="77777777" w:rsidR="00E04F56" w:rsidRPr="00E04F56" w:rsidRDefault="00E04F56" w:rsidP="007C2769">
      <w:pPr>
        <w:numPr>
          <w:ilvl w:val="0"/>
          <w:numId w:val="38"/>
        </w:numPr>
        <w:spacing w:after="0" w:line="240" w:lineRule="auto"/>
        <w:jc w:val="both"/>
        <w:rPr>
          <w:rFonts w:ascii="Minion Pro" w:hAnsi="Minion Pro" w:cs="Times New Roman"/>
          <w:iCs/>
          <w:sz w:val="24"/>
          <w:szCs w:val="24"/>
          <w:lang w:val="en-US"/>
        </w:rPr>
      </w:pPr>
      <w:r w:rsidRPr="00E04F56">
        <w:rPr>
          <w:rFonts w:ascii="Minion Pro" w:hAnsi="Minion Pro" w:cs="Times New Roman"/>
          <w:iCs/>
          <w:sz w:val="24"/>
          <w:szCs w:val="24"/>
        </w:rPr>
        <w:t>Kaidah “sesuatu yang tidak bisa dicapai seluruhnya tidak berarti harus ditinggalkan sama sekali” (</w:t>
      </w:r>
      <w:r w:rsidRPr="00E04F56">
        <w:rPr>
          <w:rFonts w:ascii="Minion Pro" w:hAnsi="Minion Pro" w:cs="Times New Roman"/>
          <w:i/>
          <w:iCs/>
          <w:sz w:val="24"/>
          <w:szCs w:val="24"/>
        </w:rPr>
        <w:t>mā lā yudrak kulluh lā yutrak kulluh</w:t>
      </w:r>
      <w:r w:rsidRPr="00E04F56">
        <w:rPr>
          <w:rFonts w:ascii="Minion Pro" w:hAnsi="Minion Pro" w:cs="Times New Roman"/>
          <w:iCs/>
          <w:sz w:val="24"/>
          <w:szCs w:val="24"/>
        </w:rPr>
        <w:t xml:space="preserve">); </w:t>
      </w:r>
    </w:p>
    <w:p w14:paraId="76BF4BF1" w14:textId="77777777" w:rsidR="007C2769" w:rsidRDefault="00E04F56" w:rsidP="006B6EBD">
      <w:pPr>
        <w:numPr>
          <w:ilvl w:val="0"/>
          <w:numId w:val="38"/>
        </w:numPr>
        <w:spacing w:after="0" w:line="240" w:lineRule="auto"/>
        <w:jc w:val="both"/>
        <w:rPr>
          <w:rFonts w:ascii="Minion Pro" w:hAnsi="Minion Pro" w:cs="Times New Roman"/>
          <w:iCs/>
          <w:sz w:val="24"/>
          <w:szCs w:val="24"/>
        </w:rPr>
      </w:pPr>
      <w:r w:rsidRPr="00E04F56">
        <w:rPr>
          <w:rFonts w:ascii="Minion Pro" w:hAnsi="Minion Pro" w:cs="Times New Roman"/>
          <w:iCs/>
          <w:sz w:val="24"/>
          <w:szCs w:val="24"/>
        </w:rPr>
        <w:t>Kaidah “kebijakan pemerintah tentang urusan rakyat mengacu kepada asas kemaslahatan” (</w:t>
      </w:r>
      <w:r w:rsidRPr="00E04F56">
        <w:rPr>
          <w:rFonts w:ascii="Minion Pro" w:hAnsi="Minion Pro" w:cs="Times New Roman"/>
          <w:i/>
          <w:iCs/>
          <w:sz w:val="24"/>
          <w:szCs w:val="24"/>
        </w:rPr>
        <w:t>tasharruf al-imām ma‘ al-ra‘iyyah</w:t>
      </w:r>
      <w:r w:rsidRPr="00E04F56">
        <w:rPr>
          <w:rFonts w:ascii="Minion Pro" w:hAnsi="Minion Pro" w:cs="Times New Roman"/>
          <w:iCs/>
          <w:sz w:val="24"/>
          <w:szCs w:val="24"/>
        </w:rPr>
        <w:t xml:space="preserve"> </w:t>
      </w:r>
      <w:r w:rsidRPr="00E04F56">
        <w:rPr>
          <w:rFonts w:ascii="Minion Pro" w:hAnsi="Minion Pro" w:cs="Times New Roman"/>
          <w:i/>
          <w:iCs/>
          <w:sz w:val="24"/>
          <w:szCs w:val="24"/>
        </w:rPr>
        <w:t>manūth bi al-mashlahah</w:t>
      </w:r>
      <w:r w:rsidRPr="00E04F56">
        <w:rPr>
          <w:rFonts w:ascii="Minion Pro" w:hAnsi="Minion Pro" w:cs="Times New Roman"/>
          <w:iCs/>
          <w:sz w:val="24"/>
          <w:szCs w:val="24"/>
        </w:rPr>
        <w:t xml:space="preserve">); dan </w:t>
      </w:r>
    </w:p>
    <w:p w14:paraId="341F5A45" w14:textId="51DF1897" w:rsidR="00E04F56" w:rsidRPr="007C2769" w:rsidRDefault="00E04F56" w:rsidP="007C2769">
      <w:pPr>
        <w:numPr>
          <w:ilvl w:val="0"/>
          <w:numId w:val="38"/>
        </w:numPr>
        <w:spacing w:line="240" w:lineRule="auto"/>
        <w:jc w:val="both"/>
        <w:rPr>
          <w:rFonts w:ascii="Minion Pro" w:hAnsi="Minion Pro" w:cs="Times New Roman"/>
          <w:iCs/>
          <w:sz w:val="24"/>
          <w:szCs w:val="24"/>
        </w:rPr>
      </w:pPr>
      <w:r w:rsidRPr="007C2769">
        <w:rPr>
          <w:rFonts w:ascii="Minion Pro" w:hAnsi="Minion Pro" w:cs="Times New Roman"/>
          <w:iCs/>
          <w:sz w:val="24"/>
          <w:szCs w:val="24"/>
        </w:rPr>
        <w:lastRenderedPageBreak/>
        <w:t>Kaidah “tradisi bisa dijadikan hukum” (</w:t>
      </w:r>
      <w:r w:rsidRPr="007C2769">
        <w:rPr>
          <w:rFonts w:ascii="Minion Pro" w:hAnsi="Minion Pro" w:cs="Times New Roman"/>
          <w:i/>
          <w:iCs/>
          <w:sz w:val="24"/>
          <w:szCs w:val="24"/>
        </w:rPr>
        <w:t>al-‘ādah muhakkamah</w:t>
      </w:r>
      <w:r w:rsidRPr="007C2769">
        <w:rPr>
          <w:rFonts w:ascii="Minion Pro" w:hAnsi="Minion Pro" w:cs="Times New Roman"/>
          <w:iCs/>
          <w:sz w:val="24"/>
          <w:szCs w:val="24"/>
        </w:rPr>
        <w:t>).</w:t>
      </w:r>
      <w:r w:rsidRPr="00E04F56">
        <w:rPr>
          <w:rFonts w:ascii="Minion Pro" w:hAnsi="Minion Pro" w:cs="Times New Roman"/>
          <w:iCs/>
          <w:sz w:val="24"/>
          <w:szCs w:val="24"/>
          <w:vertAlign w:val="superscript"/>
          <w:lang w:val="en-US"/>
        </w:rPr>
        <w:footnoteReference w:id="45"/>
      </w:r>
      <w:r w:rsidRPr="007C2769">
        <w:rPr>
          <w:rFonts w:ascii="Minion Pro" w:hAnsi="Minion Pro" w:cs="Times New Roman"/>
          <w:iCs/>
          <w:sz w:val="24"/>
          <w:szCs w:val="24"/>
        </w:rPr>
        <w:t xml:space="preserve"> </w:t>
      </w:r>
    </w:p>
    <w:p w14:paraId="36008009" w14:textId="1BE8DBBC" w:rsidR="00E04F56" w:rsidRPr="00786D9B" w:rsidRDefault="00007779" w:rsidP="00007779">
      <w:pPr>
        <w:pStyle w:val="ListParagraph"/>
        <w:numPr>
          <w:ilvl w:val="1"/>
          <w:numId w:val="1"/>
        </w:numPr>
        <w:spacing w:line="240" w:lineRule="auto"/>
        <w:ind w:left="567" w:hanging="567"/>
        <w:jc w:val="both"/>
        <w:rPr>
          <w:rFonts w:ascii="Minion Pro" w:hAnsi="Minion Pro" w:cs="Times New Roman"/>
          <w:b/>
          <w:bCs/>
          <w:iCs/>
          <w:sz w:val="24"/>
          <w:szCs w:val="24"/>
        </w:rPr>
      </w:pPr>
      <w:proofErr w:type="spellStart"/>
      <w:r w:rsidRPr="00007779">
        <w:rPr>
          <w:rFonts w:ascii="Minion Pro" w:hAnsi="Minion Pro" w:cs="Times New Roman"/>
          <w:b/>
          <w:bCs/>
          <w:iCs/>
          <w:sz w:val="24"/>
          <w:szCs w:val="24"/>
          <w:lang w:val="en-US"/>
        </w:rPr>
        <w:t>Istilah</w:t>
      </w:r>
      <w:proofErr w:type="spellEnd"/>
      <w:r w:rsidRPr="00007779">
        <w:rPr>
          <w:rFonts w:ascii="Minion Pro" w:hAnsi="Minion Pro" w:cs="Times New Roman"/>
          <w:b/>
          <w:bCs/>
          <w:iCs/>
          <w:sz w:val="24"/>
          <w:szCs w:val="24"/>
          <w:lang w:val="en-US"/>
        </w:rPr>
        <w:t xml:space="preserve"> “Kafir” dan “</w:t>
      </w:r>
      <w:proofErr w:type="gramStart"/>
      <w:r w:rsidRPr="00007779">
        <w:rPr>
          <w:rFonts w:ascii="Minion Pro" w:hAnsi="Minion Pro" w:cs="Times New Roman"/>
          <w:b/>
          <w:bCs/>
          <w:iCs/>
          <w:sz w:val="24"/>
          <w:szCs w:val="24"/>
          <w:lang w:val="en-US"/>
        </w:rPr>
        <w:t>Non-Muslim</w:t>
      </w:r>
      <w:proofErr w:type="gramEnd"/>
      <w:r w:rsidRPr="00007779">
        <w:rPr>
          <w:rFonts w:ascii="Minion Pro" w:hAnsi="Minion Pro" w:cs="Times New Roman"/>
          <w:b/>
          <w:bCs/>
          <w:iCs/>
          <w:sz w:val="24"/>
          <w:szCs w:val="24"/>
          <w:lang w:val="en-US"/>
        </w:rPr>
        <w:t>”</w:t>
      </w:r>
      <w:r w:rsidR="00E04F56" w:rsidRPr="007003D7">
        <w:rPr>
          <w:rFonts w:ascii="Minion Pro" w:hAnsi="Minion Pro" w:cs="Times New Roman"/>
          <w:b/>
          <w:bCs/>
          <w:iCs/>
          <w:sz w:val="24"/>
          <w:szCs w:val="24"/>
          <w:lang w:val="en-US"/>
        </w:rPr>
        <w:t xml:space="preserve"> </w:t>
      </w:r>
    </w:p>
    <w:p w14:paraId="59D57CAE" w14:textId="4705202C" w:rsidR="00C22542" w:rsidRDefault="009A5B96" w:rsidP="009A5B96">
      <w:pPr>
        <w:spacing w:line="240" w:lineRule="auto"/>
        <w:jc w:val="both"/>
        <w:rPr>
          <w:rFonts w:ascii="Minion Pro" w:hAnsi="Minion Pro" w:cs="Times New Roman"/>
          <w:bCs/>
          <w:iCs/>
          <w:sz w:val="24"/>
          <w:szCs w:val="24"/>
          <w:lang w:val="en-US"/>
        </w:rPr>
      </w:pPr>
      <w:proofErr w:type="spellStart"/>
      <w:r w:rsidRPr="009A5B96">
        <w:rPr>
          <w:rFonts w:ascii="Minion Pro" w:hAnsi="Minion Pro" w:cs="Times New Roman"/>
          <w:bCs/>
          <w:iCs/>
          <w:sz w:val="24"/>
          <w:szCs w:val="24"/>
          <w:lang w:val="en-US"/>
        </w:rPr>
        <w:t>Bahtsul</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Masail</w:t>
      </w:r>
      <w:proofErr w:type="spellEnd"/>
      <w:r w:rsidRPr="009A5B96">
        <w:rPr>
          <w:rFonts w:ascii="Minion Pro" w:hAnsi="Minion Pro" w:cs="Times New Roman"/>
          <w:bCs/>
          <w:iCs/>
          <w:sz w:val="24"/>
          <w:szCs w:val="24"/>
          <w:lang w:val="en-US"/>
        </w:rPr>
        <w:t xml:space="preserve"> pada </w:t>
      </w:r>
      <w:proofErr w:type="spellStart"/>
      <w:r w:rsidRPr="009A5B96">
        <w:rPr>
          <w:rFonts w:ascii="Minion Pro" w:hAnsi="Minion Pro" w:cs="Times New Roman"/>
          <w:bCs/>
          <w:iCs/>
          <w:sz w:val="24"/>
          <w:szCs w:val="24"/>
          <w:lang w:val="en-US"/>
        </w:rPr>
        <w:t>momen</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Munas</w:t>
      </w:r>
      <w:proofErr w:type="spellEnd"/>
      <w:r w:rsidRPr="009A5B96">
        <w:rPr>
          <w:rFonts w:ascii="Minion Pro" w:hAnsi="Minion Pro" w:cs="Times New Roman"/>
          <w:bCs/>
          <w:iCs/>
          <w:sz w:val="24"/>
          <w:szCs w:val="24"/>
          <w:lang w:val="en-US"/>
        </w:rPr>
        <w:t xml:space="preserve"> NU </w:t>
      </w:r>
      <w:proofErr w:type="spellStart"/>
      <w:r w:rsidRPr="009A5B96">
        <w:rPr>
          <w:rFonts w:ascii="Minion Pro" w:hAnsi="Minion Pro" w:cs="Times New Roman"/>
          <w:bCs/>
          <w:iCs/>
          <w:sz w:val="24"/>
          <w:szCs w:val="24"/>
          <w:lang w:val="en-US"/>
        </w:rPr>
        <w:t>tahun</w:t>
      </w:r>
      <w:proofErr w:type="spellEnd"/>
      <w:r w:rsidRPr="009A5B96">
        <w:rPr>
          <w:rFonts w:ascii="Minion Pro" w:hAnsi="Minion Pro" w:cs="Times New Roman"/>
          <w:bCs/>
          <w:iCs/>
          <w:sz w:val="24"/>
          <w:szCs w:val="24"/>
          <w:lang w:val="en-US"/>
        </w:rPr>
        <w:t xml:space="preserve"> 2019 </w:t>
      </w:r>
      <w:proofErr w:type="spellStart"/>
      <w:r w:rsidRPr="009A5B96">
        <w:rPr>
          <w:rFonts w:ascii="Minion Pro" w:hAnsi="Minion Pro" w:cs="Times New Roman"/>
          <w:bCs/>
          <w:iCs/>
          <w:sz w:val="24"/>
          <w:szCs w:val="24"/>
          <w:lang w:val="en-US"/>
        </w:rPr>
        <w:t>menghasilkan</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sebuah</w:t>
      </w:r>
      <w:proofErr w:type="spellEnd"/>
      <w:r w:rsidRPr="009A5B96">
        <w:rPr>
          <w:rFonts w:ascii="Minion Pro" w:hAnsi="Minion Pro" w:cs="Times New Roman"/>
          <w:bCs/>
          <w:iCs/>
          <w:sz w:val="24"/>
          <w:szCs w:val="24"/>
          <w:lang w:val="en-US"/>
        </w:rPr>
        <w:t xml:space="preserve"> fatwa </w:t>
      </w:r>
      <w:proofErr w:type="spellStart"/>
      <w:r w:rsidRPr="009A5B96">
        <w:rPr>
          <w:rFonts w:ascii="Minion Pro" w:hAnsi="Minion Pro" w:cs="Times New Roman"/>
          <w:bCs/>
          <w:iCs/>
          <w:sz w:val="24"/>
          <w:szCs w:val="24"/>
          <w:lang w:val="en-US"/>
        </w:rPr>
        <w:t>terkait</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posisi</w:t>
      </w:r>
      <w:proofErr w:type="spellEnd"/>
      <w:r w:rsidRPr="009A5B96">
        <w:rPr>
          <w:rFonts w:ascii="Minion Pro" w:hAnsi="Minion Pro" w:cs="Times New Roman"/>
          <w:bCs/>
          <w:iCs/>
          <w:sz w:val="24"/>
          <w:szCs w:val="24"/>
          <w:lang w:val="en-US"/>
        </w:rPr>
        <w:t xml:space="preserve"> non-Muslim </w:t>
      </w:r>
      <w:proofErr w:type="spellStart"/>
      <w:r w:rsidRPr="009A5B96">
        <w:rPr>
          <w:rFonts w:ascii="Minion Pro" w:hAnsi="Minion Pro" w:cs="Times New Roman"/>
          <w:bCs/>
          <w:iCs/>
          <w:sz w:val="24"/>
          <w:szCs w:val="24"/>
          <w:lang w:val="en-US"/>
        </w:rPr>
        <w:t>dalam</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konteks</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kewarganegaraan</w:t>
      </w:r>
      <w:proofErr w:type="spellEnd"/>
      <w:r w:rsidRPr="009A5B96">
        <w:rPr>
          <w:rFonts w:ascii="Minion Pro" w:hAnsi="Minion Pro" w:cs="Times New Roman"/>
          <w:bCs/>
          <w:iCs/>
          <w:sz w:val="24"/>
          <w:szCs w:val="24"/>
          <w:lang w:val="en-US"/>
        </w:rPr>
        <w:t xml:space="preserve"> di Indonesia. Fatwa </w:t>
      </w:r>
      <w:proofErr w:type="spellStart"/>
      <w:r w:rsidRPr="009A5B96">
        <w:rPr>
          <w:rFonts w:ascii="Minion Pro" w:hAnsi="Minion Pro" w:cs="Times New Roman"/>
          <w:bCs/>
          <w:iCs/>
          <w:sz w:val="24"/>
          <w:szCs w:val="24"/>
          <w:lang w:val="en-US"/>
        </w:rPr>
        <w:t>tersebut</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menegaskan</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bahwa</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dalam</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sistem</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kewarganegaraan</w:t>
      </w:r>
      <w:proofErr w:type="spellEnd"/>
      <w:r w:rsidRPr="009A5B96">
        <w:rPr>
          <w:rFonts w:ascii="Minion Pro" w:hAnsi="Minion Pro" w:cs="Times New Roman"/>
          <w:bCs/>
          <w:iCs/>
          <w:sz w:val="24"/>
          <w:szCs w:val="24"/>
          <w:lang w:val="en-US"/>
        </w:rPr>
        <w:t xml:space="preserve"> pada </w:t>
      </w:r>
      <w:proofErr w:type="spellStart"/>
      <w:r w:rsidRPr="009A5B96">
        <w:rPr>
          <w:rFonts w:ascii="Minion Pro" w:hAnsi="Minion Pro" w:cs="Times New Roman"/>
          <w:bCs/>
          <w:iCs/>
          <w:sz w:val="24"/>
          <w:szCs w:val="24"/>
          <w:lang w:val="en-US"/>
        </w:rPr>
        <w:t>suatu</w:t>
      </w:r>
      <w:proofErr w:type="spellEnd"/>
      <w:r w:rsidRPr="009A5B96">
        <w:rPr>
          <w:rFonts w:ascii="Minion Pro" w:hAnsi="Minion Pro" w:cs="Times New Roman"/>
          <w:bCs/>
          <w:iCs/>
          <w:sz w:val="24"/>
          <w:szCs w:val="24"/>
          <w:lang w:val="en-US"/>
        </w:rPr>
        <w:t xml:space="preserve"> negara-</w:t>
      </w:r>
      <w:proofErr w:type="spellStart"/>
      <w:r w:rsidRPr="009A5B96">
        <w:rPr>
          <w:rFonts w:ascii="Minion Pro" w:hAnsi="Minion Pro" w:cs="Times New Roman"/>
          <w:bCs/>
          <w:iCs/>
          <w:sz w:val="24"/>
          <w:szCs w:val="24"/>
          <w:lang w:val="en-US"/>
        </w:rPr>
        <w:t>bangsa</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
          <w:iCs/>
          <w:sz w:val="24"/>
          <w:szCs w:val="24"/>
          <w:lang w:val="en-US"/>
        </w:rPr>
        <w:t>muwāthanah</w:t>
      </w:r>
      <w:proofErr w:type="spellEnd"/>
      <w:r w:rsidRPr="009A5B96">
        <w:rPr>
          <w:rFonts w:ascii="Minion Pro" w:hAnsi="Minion Pro" w:cs="Times New Roman"/>
          <w:bCs/>
          <w:iCs/>
          <w:sz w:val="24"/>
          <w:szCs w:val="24"/>
          <w:lang w:val="en-US"/>
        </w:rPr>
        <w:t xml:space="preserve">, </w:t>
      </w:r>
      <w:r w:rsidRPr="009A5B96">
        <w:rPr>
          <w:rFonts w:ascii="Minion Pro" w:hAnsi="Minion Pro" w:cs="Times New Roman"/>
          <w:bCs/>
          <w:i/>
          <w:iCs/>
          <w:sz w:val="24"/>
          <w:szCs w:val="24"/>
          <w:lang w:val="en-US"/>
        </w:rPr>
        <w:t>citizenship</w:t>
      </w:r>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tidak</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dikenal</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istilah</w:t>
      </w:r>
      <w:proofErr w:type="spellEnd"/>
      <w:r w:rsidRPr="009A5B96">
        <w:rPr>
          <w:rFonts w:ascii="Minion Pro" w:hAnsi="Minion Pro" w:cs="Times New Roman"/>
          <w:bCs/>
          <w:iCs/>
          <w:sz w:val="24"/>
          <w:szCs w:val="24"/>
          <w:lang w:val="en-US"/>
        </w:rPr>
        <w:t xml:space="preserve"> “kafir”. </w:t>
      </w:r>
      <w:proofErr w:type="spellStart"/>
      <w:r w:rsidRPr="009A5B96">
        <w:rPr>
          <w:rFonts w:ascii="Minion Pro" w:hAnsi="Minion Pro" w:cs="Times New Roman"/>
          <w:bCs/>
          <w:iCs/>
          <w:sz w:val="24"/>
          <w:szCs w:val="24"/>
          <w:lang w:val="en-US"/>
        </w:rPr>
        <w:t>Setiap</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warga</w:t>
      </w:r>
      <w:proofErr w:type="spellEnd"/>
      <w:r w:rsidRPr="009A5B96">
        <w:rPr>
          <w:rFonts w:ascii="Minion Pro" w:hAnsi="Minion Pro" w:cs="Times New Roman"/>
          <w:bCs/>
          <w:iCs/>
          <w:sz w:val="24"/>
          <w:szCs w:val="24"/>
          <w:lang w:val="en-US"/>
        </w:rPr>
        <w:t xml:space="preserve"> negara </w:t>
      </w:r>
      <w:proofErr w:type="spellStart"/>
      <w:r w:rsidRPr="009A5B96">
        <w:rPr>
          <w:rFonts w:ascii="Minion Pro" w:hAnsi="Minion Pro" w:cs="Times New Roman"/>
          <w:bCs/>
          <w:iCs/>
          <w:sz w:val="24"/>
          <w:szCs w:val="24"/>
          <w:lang w:val="en-US"/>
        </w:rPr>
        <w:t>memiliki</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kedudukan</w:t>
      </w:r>
      <w:proofErr w:type="spellEnd"/>
      <w:r w:rsidRPr="009A5B96">
        <w:rPr>
          <w:rFonts w:ascii="Minion Pro" w:hAnsi="Minion Pro" w:cs="Times New Roman"/>
          <w:bCs/>
          <w:iCs/>
          <w:sz w:val="24"/>
          <w:szCs w:val="24"/>
          <w:lang w:val="en-US"/>
        </w:rPr>
        <w:t xml:space="preserve"> dan </w:t>
      </w:r>
      <w:proofErr w:type="spellStart"/>
      <w:r w:rsidRPr="009A5B96">
        <w:rPr>
          <w:rFonts w:ascii="Minion Pro" w:hAnsi="Minion Pro" w:cs="Times New Roman"/>
          <w:bCs/>
          <w:iCs/>
          <w:sz w:val="24"/>
          <w:szCs w:val="24"/>
          <w:lang w:val="en-US"/>
        </w:rPr>
        <w:t>hak</w:t>
      </w:r>
      <w:proofErr w:type="spellEnd"/>
      <w:r w:rsidRPr="009A5B96">
        <w:rPr>
          <w:rFonts w:ascii="Minion Pro" w:hAnsi="Minion Pro" w:cs="Times New Roman"/>
          <w:bCs/>
          <w:iCs/>
          <w:sz w:val="24"/>
          <w:szCs w:val="24"/>
          <w:lang w:val="en-US"/>
        </w:rPr>
        <w:t xml:space="preserve"> yang </w:t>
      </w:r>
      <w:proofErr w:type="spellStart"/>
      <w:r w:rsidRPr="009A5B96">
        <w:rPr>
          <w:rFonts w:ascii="Minion Pro" w:hAnsi="Minion Pro" w:cs="Times New Roman"/>
          <w:bCs/>
          <w:iCs/>
          <w:sz w:val="24"/>
          <w:szCs w:val="24"/>
          <w:lang w:val="en-US"/>
        </w:rPr>
        <w:t>sama</w:t>
      </w:r>
      <w:proofErr w:type="spellEnd"/>
      <w:r w:rsidRPr="009A5B96">
        <w:rPr>
          <w:rFonts w:ascii="Minion Pro" w:hAnsi="Minion Pro" w:cs="Times New Roman"/>
          <w:bCs/>
          <w:iCs/>
          <w:sz w:val="24"/>
          <w:szCs w:val="24"/>
          <w:lang w:val="en-US"/>
        </w:rPr>
        <w:t xml:space="preserve"> di </w:t>
      </w:r>
      <w:proofErr w:type="spellStart"/>
      <w:r w:rsidRPr="009A5B96">
        <w:rPr>
          <w:rFonts w:ascii="Minion Pro" w:hAnsi="Minion Pro" w:cs="Times New Roman"/>
          <w:bCs/>
          <w:iCs/>
          <w:sz w:val="24"/>
          <w:szCs w:val="24"/>
          <w:lang w:val="en-US"/>
        </w:rPr>
        <w:t>mata</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konstitusi</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sehingga</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mereka</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lebih</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tepat</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disebut</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sebagai</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warga</w:t>
      </w:r>
      <w:proofErr w:type="spellEnd"/>
      <w:r w:rsidRPr="009A5B96">
        <w:rPr>
          <w:rFonts w:ascii="Minion Pro" w:hAnsi="Minion Pro" w:cs="Times New Roman"/>
          <w:bCs/>
          <w:iCs/>
          <w:sz w:val="24"/>
          <w:szCs w:val="24"/>
          <w:lang w:val="en-US"/>
        </w:rPr>
        <w:t xml:space="preserve"> negara” (</w:t>
      </w:r>
      <w:proofErr w:type="spellStart"/>
      <w:r w:rsidRPr="009A5B96">
        <w:rPr>
          <w:rFonts w:ascii="Minion Pro" w:hAnsi="Minion Pro" w:cs="Times New Roman"/>
          <w:bCs/>
          <w:i/>
          <w:iCs/>
          <w:sz w:val="24"/>
          <w:szCs w:val="24"/>
          <w:lang w:val="en-US"/>
        </w:rPr>
        <w:t>muwāthin</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Argumentasinya</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adalah</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bahwa</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melalui</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teknik</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
          <w:iCs/>
          <w:sz w:val="24"/>
          <w:szCs w:val="24"/>
          <w:lang w:val="en-US"/>
        </w:rPr>
        <w:t>tahqīq</w:t>
      </w:r>
      <w:proofErr w:type="spellEnd"/>
      <w:r w:rsidRPr="009A5B96">
        <w:rPr>
          <w:rFonts w:ascii="Minion Pro" w:hAnsi="Minion Pro" w:cs="Times New Roman"/>
          <w:bCs/>
          <w:i/>
          <w:iCs/>
          <w:sz w:val="24"/>
          <w:szCs w:val="24"/>
          <w:lang w:val="en-US"/>
        </w:rPr>
        <w:t xml:space="preserve"> al-</w:t>
      </w:r>
      <w:proofErr w:type="spellStart"/>
      <w:r w:rsidRPr="009A5B96">
        <w:rPr>
          <w:rFonts w:ascii="Minion Pro" w:hAnsi="Minion Pro" w:cs="Times New Roman"/>
          <w:bCs/>
          <w:i/>
          <w:iCs/>
          <w:sz w:val="24"/>
          <w:szCs w:val="24"/>
          <w:lang w:val="en-US"/>
        </w:rPr>
        <w:t>manāth</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kriteria</w:t>
      </w:r>
      <w:proofErr w:type="spellEnd"/>
      <w:r w:rsidRPr="009A5B96">
        <w:rPr>
          <w:rFonts w:ascii="Minion Pro" w:hAnsi="Minion Pro" w:cs="Times New Roman"/>
          <w:bCs/>
          <w:iCs/>
          <w:sz w:val="24"/>
          <w:szCs w:val="24"/>
          <w:lang w:val="en-US"/>
        </w:rPr>
        <w:t xml:space="preserve"> “kafir” </w:t>
      </w:r>
      <w:proofErr w:type="spellStart"/>
      <w:r w:rsidRPr="009A5B96">
        <w:rPr>
          <w:rFonts w:ascii="Minion Pro" w:hAnsi="Minion Pro" w:cs="Times New Roman"/>
          <w:bCs/>
          <w:iCs/>
          <w:sz w:val="24"/>
          <w:szCs w:val="24"/>
          <w:lang w:val="en-US"/>
        </w:rPr>
        <w:t>dalam</w:t>
      </w:r>
      <w:proofErr w:type="spellEnd"/>
      <w:r w:rsidRPr="009A5B96">
        <w:rPr>
          <w:rFonts w:ascii="Minion Pro" w:hAnsi="Minion Pro" w:cs="Times New Roman"/>
          <w:bCs/>
          <w:iCs/>
          <w:sz w:val="24"/>
          <w:szCs w:val="24"/>
          <w:lang w:val="en-US"/>
        </w:rPr>
        <w:t xml:space="preserve"> kitab-kitab </w:t>
      </w:r>
      <w:proofErr w:type="spellStart"/>
      <w:r w:rsidRPr="009A5B96">
        <w:rPr>
          <w:rFonts w:ascii="Minion Pro" w:hAnsi="Minion Pro" w:cs="Times New Roman"/>
          <w:bCs/>
          <w:iCs/>
          <w:sz w:val="24"/>
          <w:szCs w:val="24"/>
          <w:lang w:val="en-US"/>
        </w:rPr>
        <w:t>fikih</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tidak</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cocok</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jika</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diterapkan</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untuk</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kalangan</w:t>
      </w:r>
      <w:proofErr w:type="spellEnd"/>
      <w:r w:rsidRPr="009A5B96">
        <w:rPr>
          <w:rFonts w:ascii="Minion Pro" w:hAnsi="Minion Pro" w:cs="Times New Roman"/>
          <w:bCs/>
          <w:iCs/>
          <w:sz w:val="24"/>
          <w:szCs w:val="24"/>
          <w:lang w:val="en-US"/>
        </w:rPr>
        <w:t xml:space="preserve"> non-Muslim di Indonesia. </w:t>
      </w:r>
      <w:proofErr w:type="spellStart"/>
      <w:r w:rsidRPr="009A5B96">
        <w:rPr>
          <w:rFonts w:ascii="Minion Pro" w:hAnsi="Minion Pro" w:cs="Times New Roman"/>
          <w:bCs/>
          <w:iCs/>
          <w:sz w:val="24"/>
          <w:szCs w:val="24"/>
          <w:lang w:val="en-US"/>
        </w:rPr>
        <w:t>Selain</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itu</w:t>
      </w:r>
      <w:proofErr w:type="spellEnd"/>
      <w:r w:rsidRPr="009A5B96">
        <w:rPr>
          <w:rFonts w:ascii="Minion Pro" w:hAnsi="Minion Pro" w:cs="Times New Roman"/>
          <w:bCs/>
          <w:iCs/>
          <w:sz w:val="24"/>
          <w:szCs w:val="24"/>
          <w:lang w:val="en-US"/>
        </w:rPr>
        <w:t xml:space="preserve">, NU </w:t>
      </w:r>
      <w:proofErr w:type="spellStart"/>
      <w:r w:rsidRPr="009A5B96">
        <w:rPr>
          <w:rFonts w:ascii="Minion Pro" w:hAnsi="Minion Pro" w:cs="Times New Roman"/>
          <w:bCs/>
          <w:iCs/>
          <w:sz w:val="24"/>
          <w:szCs w:val="24"/>
          <w:lang w:val="en-US"/>
        </w:rPr>
        <w:t>dalam</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konteks</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perdamaian</w:t>
      </w:r>
      <w:proofErr w:type="spellEnd"/>
      <w:r w:rsidRPr="009A5B96">
        <w:rPr>
          <w:rFonts w:ascii="Minion Pro" w:hAnsi="Minion Pro" w:cs="Times New Roman"/>
          <w:bCs/>
          <w:iCs/>
          <w:sz w:val="24"/>
          <w:szCs w:val="24"/>
          <w:lang w:val="en-US"/>
        </w:rPr>
        <w:t xml:space="preserve"> dunia </w:t>
      </w:r>
      <w:proofErr w:type="spellStart"/>
      <w:r w:rsidRPr="009A5B96">
        <w:rPr>
          <w:rFonts w:ascii="Minion Pro" w:hAnsi="Minion Pro" w:cs="Times New Roman"/>
          <w:bCs/>
          <w:iCs/>
          <w:sz w:val="24"/>
          <w:szCs w:val="24"/>
          <w:lang w:val="en-US"/>
        </w:rPr>
        <w:t>sudah</w:t>
      </w:r>
      <w:proofErr w:type="spellEnd"/>
      <w:r w:rsidRPr="009A5B96">
        <w:rPr>
          <w:rFonts w:ascii="Minion Pro" w:hAnsi="Minion Pro" w:cs="Times New Roman"/>
          <w:bCs/>
          <w:iCs/>
          <w:sz w:val="24"/>
          <w:szCs w:val="24"/>
          <w:lang w:val="en-US"/>
        </w:rPr>
        <w:t xml:space="preserve"> lama </w:t>
      </w:r>
      <w:proofErr w:type="spellStart"/>
      <w:r w:rsidRPr="009A5B96">
        <w:rPr>
          <w:rFonts w:ascii="Minion Pro" w:hAnsi="Minion Pro" w:cs="Times New Roman"/>
          <w:bCs/>
          <w:iCs/>
          <w:sz w:val="24"/>
          <w:szCs w:val="24"/>
          <w:lang w:val="en-US"/>
        </w:rPr>
        <w:t>mengusung</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prinsip</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trilogi</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persaudaraan</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yaitu</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persaudaraan</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sesama</w:t>
      </w:r>
      <w:proofErr w:type="spellEnd"/>
      <w:r w:rsidRPr="009A5B96">
        <w:rPr>
          <w:rFonts w:ascii="Minion Pro" w:hAnsi="Minion Pro" w:cs="Times New Roman"/>
          <w:bCs/>
          <w:iCs/>
          <w:sz w:val="24"/>
          <w:szCs w:val="24"/>
          <w:lang w:val="en-US"/>
        </w:rPr>
        <w:t xml:space="preserve"> Muslim (</w:t>
      </w:r>
      <w:proofErr w:type="spellStart"/>
      <w:r w:rsidRPr="009A5B96">
        <w:rPr>
          <w:rFonts w:ascii="Minion Pro" w:hAnsi="Minion Pro" w:cs="Times New Roman"/>
          <w:bCs/>
          <w:i/>
          <w:iCs/>
          <w:sz w:val="24"/>
          <w:szCs w:val="24"/>
          <w:lang w:val="en-US"/>
        </w:rPr>
        <w:t>ukhuwwah</w:t>
      </w:r>
      <w:proofErr w:type="spellEnd"/>
      <w:r w:rsidRPr="009A5B96">
        <w:rPr>
          <w:rFonts w:ascii="Minion Pro" w:hAnsi="Minion Pro" w:cs="Times New Roman"/>
          <w:bCs/>
          <w:i/>
          <w:iCs/>
          <w:sz w:val="24"/>
          <w:szCs w:val="24"/>
          <w:lang w:val="en-US"/>
        </w:rPr>
        <w:t xml:space="preserve"> </w:t>
      </w:r>
      <w:proofErr w:type="spellStart"/>
      <w:r w:rsidRPr="009A5B96">
        <w:rPr>
          <w:rFonts w:ascii="Minion Pro" w:hAnsi="Minion Pro" w:cs="Times New Roman"/>
          <w:bCs/>
          <w:i/>
          <w:iCs/>
          <w:sz w:val="24"/>
          <w:szCs w:val="24"/>
          <w:lang w:val="en-US"/>
        </w:rPr>
        <w:t>Islāmiyyah</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persaudaraan</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sesama</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warga</w:t>
      </w:r>
      <w:proofErr w:type="spellEnd"/>
      <w:r w:rsidRPr="009A5B96">
        <w:rPr>
          <w:rFonts w:ascii="Minion Pro" w:hAnsi="Minion Pro" w:cs="Times New Roman"/>
          <w:bCs/>
          <w:iCs/>
          <w:sz w:val="24"/>
          <w:szCs w:val="24"/>
          <w:lang w:val="en-US"/>
        </w:rPr>
        <w:t xml:space="preserve"> negara (</w:t>
      </w:r>
      <w:proofErr w:type="spellStart"/>
      <w:r w:rsidRPr="009A5B96">
        <w:rPr>
          <w:rFonts w:ascii="Minion Pro" w:hAnsi="Minion Pro" w:cs="Times New Roman"/>
          <w:bCs/>
          <w:i/>
          <w:iCs/>
          <w:sz w:val="24"/>
          <w:szCs w:val="24"/>
          <w:lang w:val="en-US"/>
        </w:rPr>
        <w:t>ukhuwwah</w:t>
      </w:r>
      <w:proofErr w:type="spellEnd"/>
      <w:r w:rsidRPr="009A5B96">
        <w:rPr>
          <w:rFonts w:ascii="Minion Pro" w:hAnsi="Minion Pro" w:cs="Times New Roman"/>
          <w:bCs/>
          <w:i/>
          <w:iCs/>
          <w:sz w:val="24"/>
          <w:szCs w:val="24"/>
          <w:lang w:val="en-US"/>
        </w:rPr>
        <w:t xml:space="preserve"> </w:t>
      </w:r>
      <w:proofErr w:type="spellStart"/>
      <w:r w:rsidRPr="009A5B96">
        <w:rPr>
          <w:rFonts w:ascii="Minion Pro" w:hAnsi="Minion Pro" w:cs="Times New Roman"/>
          <w:bCs/>
          <w:i/>
          <w:iCs/>
          <w:sz w:val="24"/>
          <w:szCs w:val="24"/>
          <w:lang w:val="en-US"/>
        </w:rPr>
        <w:t>wathaniyyah</w:t>
      </w:r>
      <w:proofErr w:type="spellEnd"/>
      <w:r w:rsidRPr="009A5B96">
        <w:rPr>
          <w:rFonts w:ascii="Minion Pro" w:hAnsi="Minion Pro" w:cs="Times New Roman"/>
          <w:bCs/>
          <w:iCs/>
          <w:sz w:val="24"/>
          <w:szCs w:val="24"/>
          <w:lang w:val="en-US"/>
        </w:rPr>
        <w:t xml:space="preserve">), dan </w:t>
      </w:r>
      <w:proofErr w:type="spellStart"/>
      <w:r w:rsidRPr="009A5B96">
        <w:rPr>
          <w:rFonts w:ascii="Minion Pro" w:hAnsi="Minion Pro" w:cs="Times New Roman"/>
          <w:bCs/>
          <w:iCs/>
          <w:sz w:val="24"/>
          <w:szCs w:val="24"/>
          <w:lang w:val="en-US"/>
        </w:rPr>
        <w:t>persaudaraan</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sesama</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manusia</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
          <w:iCs/>
          <w:sz w:val="24"/>
          <w:szCs w:val="24"/>
          <w:lang w:val="en-US"/>
        </w:rPr>
        <w:t>ukhuwwah</w:t>
      </w:r>
      <w:proofErr w:type="spellEnd"/>
      <w:r w:rsidRPr="009A5B96">
        <w:rPr>
          <w:rFonts w:ascii="Minion Pro" w:hAnsi="Minion Pro" w:cs="Times New Roman"/>
          <w:bCs/>
          <w:i/>
          <w:iCs/>
          <w:sz w:val="24"/>
          <w:szCs w:val="24"/>
          <w:lang w:val="en-US"/>
        </w:rPr>
        <w:t xml:space="preserve"> </w:t>
      </w:r>
      <w:proofErr w:type="spellStart"/>
      <w:r w:rsidRPr="009A5B96">
        <w:rPr>
          <w:rFonts w:ascii="Minion Pro" w:hAnsi="Minion Pro" w:cs="Times New Roman"/>
          <w:bCs/>
          <w:i/>
          <w:iCs/>
          <w:sz w:val="24"/>
          <w:szCs w:val="24"/>
          <w:lang w:val="en-US"/>
        </w:rPr>
        <w:t>basyariyyah</w:t>
      </w:r>
      <w:proofErr w:type="spellEnd"/>
      <w:r w:rsidRPr="009A5B96">
        <w:rPr>
          <w:rFonts w:ascii="Minion Pro" w:hAnsi="Minion Pro" w:cs="Times New Roman"/>
          <w:bCs/>
          <w:iCs/>
          <w:sz w:val="24"/>
          <w:szCs w:val="24"/>
          <w:lang w:val="en-US"/>
        </w:rPr>
        <w:t>).</w:t>
      </w:r>
      <w:r w:rsidRPr="009A5B96">
        <w:rPr>
          <w:rFonts w:ascii="Minion Pro" w:hAnsi="Minion Pro" w:cs="Times New Roman"/>
          <w:bCs/>
          <w:iCs/>
          <w:sz w:val="24"/>
          <w:szCs w:val="24"/>
          <w:vertAlign w:val="superscript"/>
          <w:lang w:val="en-US"/>
        </w:rPr>
        <w:footnoteReference w:id="46"/>
      </w:r>
    </w:p>
    <w:p w14:paraId="13C0EBBD" w14:textId="77777777" w:rsidR="009A5B96" w:rsidRPr="009A5B96" w:rsidRDefault="009A5B96" w:rsidP="009A5B96">
      <w:pPr>
        <w:spacing w:line="240" w:lineRule="auto"/>
        <w:jc w:val="both"/>
        <w:rPr>
          <w:rFonts w:ascii="Minion Pro" w:hAnsi="Minion Pro" w:cs="Times New Roman"/>
          <w:bCs/>
          <w:iCs/>
          <w:sz w:val="24"/>
          <w:szCs w:val="24"/>
          <w:lang w:val="en-US"/>
        </w:rPr>
      </w:pPr>
      <w:proofErr w:type="spellStart"/>
      <w:r w:rsidRPr="009A5B96">
        <w:rPr>
          <w:rFonts w:ascii="Minion Pro" w:hAnsi="Minion Pro" w:cs="Times New Roman"/>
          <w:bCs/>
          <w:iCs/>
          <w:sz w:val="24"/>
          <w:szCs w:val="24"/>
          <w:lang w:val="en-US"/>
        </w:rPr>
        <w:t>Terlepas</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dari</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pandangan</w:t>
      </w:r>
      <w:proofErr w:type="spellEnd"/>
      <w:r w:rsidRPr="009A5B96">
        <w:rPr>
          <w:rFonts w:ascii="Minion Pro" w:hAnsi="Minion Pro" w:cs="Times New Roman"/>
          <w:bCs/>
          <w:iCs/>
          <w:sz w:val="24"/>
          <w:szCs w:val="24"/>
          <w:lang w:val="en-US"/>
        </w:rPr>
        <w:t xml:space="preserve"> pro dan </w:t>
      </w:r>
      <w:proofErr w:type="spellStart"/>
      <w:r w:rsidRPr="009A5B96">
        <w:rPr>
          <w:rFonts w:ascii="Minion Pro" w:hAnsi="Minion Pro" w:cs="Times New Roman"/>
          <w:bCs/>
          <w:iCs/>
          <w:sz w:val="24"/>
          <w:szCs w:val="24"/>
          <w:lang w:val="en-US"/>
        </w:rPr>
        <w:t>kontra</w:t>
      </w:r>
      <w:proofErr w:type="spellEnd"/>
      <w:r w:rsidRPr="009A5B96">
        <w:rPr>
          <w:rFonts w:ascii="Minion Pro" w:hAnsi="Minion Pro" w:cs="Times New Roman"/>
          <w:bCs/>
          <w:iCs/>
          <w:sz w:val="24"/>
          <w:szCs w:val="24"/>
          <w:lang w:val="en-US"/>
        </w:rPr>
        <w:t xml:space="preserve"> yang </w:t>
      </w:r>
      <w:proofErr w:type="spellStart"/>
      <w:r w:rsidRPr="009A5B96">
        <w:rPr>
          <w:rFonts w:ascii="Minion Pro" w:hAnsi="Minion Pro" w:cs="Times New Roman"/>
          <w:bCs/>
          <w:iCs/>
          <w:sz w:val="24"/>
          <w:szCs w:val="24"/>
          <w:lang w:val="en-US"/>
        </w:rPr>
        <w:t>mengitarinya</w:t>
      </w:r>
      <w:proofErr w:type="spellEnd"/>
      <w:r w:rsidRPr="009A5B96">
        <w:rPr>
          <w:rFonts w:ascii="Minion Pro" w:hAnsi="Minion Pro" w:cs="Times New Roman"/>
          <w:bCs/>
          <w:iCs/>
          <w:sz w:val="24"/>
          <w:szCs w:val="24"/>
          <w:lang w:val="en-US"/>
        </w:rPr>
        <w:t xml:space="preserve">, fatwa </w:t>
      </w:r>
      <w:proofErr w:type="spellStart"/>
      <w:r w:rsidRPr="009A5B96">
        <w:rPr>
          <w:rFonts w:ascii="Minion Pro" w:hAnsi="Minion Pro" w:cs="Times New Roman"/>
          <w:bCs/>
          <w:iCs/>
          <w:sz w:val="24"/>
          <w:szCs w:val="24"/>
          <w:lang w:val="en-US"/>
        </w:rPr>
        <w:t>tersebut</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sebetulnya</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berakar</w:t>
      </w:r>
      <w:proofErr w:type="spellEnd"/>
      <w:r w:rsidRPr="009A5B96">
        <w:rPr>
          <w:rFonts w:ascii="Minion Pro" w:hAnsi="Minion Pro" w:cs="Times New Roman"/>
          <w:bCs/>
          <w:iCs/>
          <w:sz w:val="24"/>
          <w:szCs w:val="24"/>
          <w:lang w:val="en-US"/>
        </w:rPr>
        <w:t xml:space="preserve"> pada </w:t>
      </w:r>
      <w:proofErr w:type="spellStart"/>
      <w:r w:rsidRPr="009A5B96">
        <w:rPr>
          <w:rFonts w:ascii="Minion Pro" w:hAnsi="Minion Pro" w:cs="Times New Roman"/>
          <w:bCs/>
          <w:iCs/>
          <w:sz w:val="24"/>
          <w:szCs w:val="24"/>
          <w:lang w:val="en-US"/>
        </w:rPr>
        <w:t>tradisi</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berpikir</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kiai-kiai</w:t>
      </w:r>
      <w:proofErr w:type="spellEnd"/>
      <w:r w:rsidRPr="009A5B96">
        <w:rPr>
          <w:rFonts w:ascii="Minion Pro" w:hAnsi="Minion Pro" w:cs="Times New Roman"/>
          <w:bCs/>
          <w:iCs/>
          <w:sz w:val="24"/>
          <w:szCs w:val="24"/>
          <w:lang w:val="en-US"/>
        </w:rPr>
        <w:t xml:space="preserve"> NU </w:t>
      </w:r>
      <w:proofErr w:type="spellStart"/>
      <w:r w:rsidRPr="009A5B96">
        <w:rPr>
          <w:rFonts w:ascii="Minion Pro" w:hAnsi="Minion Pro" w:cs="Times New Roman"/>
          <w:bCs/>
          <w:iCs/>
          <w:sz w:val="24"/>
          <w:szCs w:val="24"/>
          <w:lang w:val="en-US"/>
        </w:rPr>
        <w:t>dalam</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Bahtsul</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Masail</w:t>
      </w:r>
      <w:proofErr w:type="spellEnd"/>
      <w:r w:rsidRPr="009A5B96">
        <w:rPr>
          <w:rFonts w:ascii="Minion Pro" w:hAnsi="Minion Pro" w:cs="Times New Roman"/>
          <w:bCs/>
          <w:iCs/>
          <w:sz w:val="24"/>
          <w:szCs w:val="24"/>
          <w:lang w:val="en-US"/>
        </w:rPr>
        <w:t xml:space="preserve">, di </w:t>
      </w:r>
      <w:proofErr w:type="spellStart"/>
      <w:r w:rsidRPr="009A5B96">
        <w:rPr>
          <w:rFonts w:ascii="Minion Pro" w:hAnsi="Minion Pro" w:cs="Times New Roman"/>
          <w:bCs/>
          <w:iCs/>
          <w:sz w:val="24"/>
          <w:szCs w:val="24"/>
          <w:lang w:val="en-US"/>
        </w:rPr>
        <w:t>satu</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sisi</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serta</w:t>
      </w:r>
      <w:proofErr w:type="spellEnd"/>
      <w:r w:rsidRPr="009A5B96">
        <w:rPr>
          <w:rFonts w:ascii="Minion Pro" w:hAnsi="Minion Pro" w:cs="Times New Roman"/>
          <w:bCs/>
          <w:iCs/>
          <w:sz w:val="24"/>
          <w:szCs w:val="24"/>
          <w:lang w:val="en-US"/>
        </w:rPr>
        <w:t xml:space="preserve"> trend </w:t>
      </w:r>
      <w:proofErr w:type="spellStart"/>
      <w:r w:rsidRPr="009A5B96">
        <w:rPr>
          <w:rFonts w:ascii="Minion Pro" w:hAnsi="Minion Pro" w:cs="Times New Roman"/>
          <w:bCs/>
          <w:iCs/>
          <w:sz w:val="24"/>
          <w:szCs w:val="24"/>
          <w:lang w:val="en-US"/>
        </w:rPr>
        <w:t>penggunaan</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istilah</w:t>
      </w:r>
      <w:proofErr w:type="spellEnd"/>
      <w:r w:rsidRPr="009A5B96">
        <w:rPr>
          <w:rFonts w:ascii="Minion Pro" w:hAnsi="Minion Pro" w:cs="Times New Roman"/>
          <w:bCs/>
          <w:iCs/>
          <w:sz w:val="24"/>
          <w:szCs w:val="24"/>
          <w:lang w:val="en-US"/>
        </w:rPr>
        <w:t xml:space="preserve"> “kafir” dan “non-Muslim” </w:t>
      </w:r>
      <w:proofErr w:type="spellStart"/>
      <w:r w:rsidRPr="009A5B96">
        <w:rPr>
          <w:rFonts w:ascii="Minion Pro" w:hAnsi="Minion Pro" w:cs="Times New Roman"/>
          <w:bCs/>
          <w:iCs/>
          <w:sz w:val="24"/>
          <w:szCs w:val="24"/>
          <w:lang w:val="en-US"/>
        </w:rPr>
        <w:t>dalam</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Bahtsul</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Masail</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sejak</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edisi</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pertama</w:t>
      </w:r>
      <w:proofErr w:type="spellEnd"/>
      <w:r w:rsidRPr="009A5B96">
        <w:rPr>
          <w:rFonts w:ascii="Minion Pro" w:hAnsi="Minion Pro" w:cs="Times New Roman"/>
          <w:bCs/>
          <w:iCs/>
          <w:sz w:val="24"/>
          <w:szCs w:val="24"/>
          <w:lang w:val="en-US"/>
        </w:rPr>
        <w:t xml:space="preserve"> (1927). </w:t>
      </w:r>
      <w:proofErr w:type="spellStart"/>
      <w:r w:rsidRPr="009A5B96">
        <w:rPr>
          <w:rFonts w:ascii="Minion Pro" w:hAnsi="Minion Pro" w:cs="Times New Roman"/>
          <w:bCs/>
          <w:iCs/>
          <w:sz w:val="24"/>
          <w:szCs w:val="24"/>
          <w:lang w:val="en-US"/>
        </w:rPr>
        <w:t>Terkait</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tradisi</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berpikir</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kiai-kiai</w:t>
      </w:r>
      <w:proofErr w:type="spellEnd"/>
      <w:r w:rsidRPr="009A5B96">
        <w:rPr>
          <w:rFonts w:ascii="Minion Pro" w:hAnsi="Minion Pro" w:cs="Times New Roman"/>
          <w:bCs/>
          <w:iCs/>
          <w:sz w:val="24"/>
          <w:szCs w:val="24"/>
          <w:lang w:val="en-US"/>
        </w:rPr>
        <w:t xml:space="preserve"> NU </w:t>
      </w:r>
      <w:proofErr w:type="spellStart"/>
      <w:r w:rsidRPr="009A5B96">
        <w:rPr>
          <w:rFonts w:ascii="Minion Pro" w:hAnsi="Minion Pro" w:cs="Times New Roman"/>
          <w:bCs/>
          <w:iCs/>
          <w:sz w:val="24"/>
          <w:szCs w:val="24"/>
          <w:lang w:val="en-US"/>
        </w:rPr>
        <w:t>mewarisi</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Aswaja</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sebagai</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metode</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berpikir</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
          <w:iCs/>
          <w:sz w:val="24"/>
          <w:szCs w:val="24"/>
          <w:lang w:val="en-US"/>
        </w:rPr>
        <w:t>manhaj</w:t>
      </w:r>
      <w:proofErr w:type="spellEnd"/>
      <w:r w:rsidRPr="009A5B96">
        <w:rPr>
          <w:rFonts w:ascii="Minion Pro" w:hAnsi="Minion Pro" w:cs="Times New Roman"/>
          <w:bCs/>
          <w:i/>
          <w:iCs/>
          <w:sz w:val="24"/>
          <w:szCs w:val="24"/>
          <w:lang w:val="en-US"/>
        </w:rPr>
        <w:t xml:space="preserve"> al-</w:t>
      </w:r>
      <w:proofErr w:type="spellStart"/>
      <w:r w:rsidRPr="009A5B96">
        <w:rPr>
          <w:rFonts w:ascii="Minion Pro" w:hAnsi="Minion Pro" w:cs="Times New Roman"/>
          <w:bCs/>
          <w:i/>
          <w:iCs/>
          <w:sz w:val="24"/>
          <w:szCs w:val="24"/>
          <w:lang w:val="en-US"/>
        </w:rPr>
        <w:t>fikr</w:t>
      </w:r>
      <w:proofErr w:type="spellEnd"/>
      <w:r w:rsidRPr="009A5B96">
        <w:rPr>
          <w:rFonts w:ascii="Minion Pro" w:hAnsi="Minion Pro" w:cs="Times New Roman"/>
          <w:bCs/>
          <w:iCs/>
          <w:sz w:val="24"/>
          <w:szCs w:val="24"/>
          <w:lang w:val="en-US"/>
        </w:rPr>
        <w:t xml:space="preserve">), di mana </w:t>
      </w:r>
      <w:proofErr w:type="spellStart"/>
      <w:r w:rsidRPr="009A5B96">
        <w:rPr>
          <w:rFonts w:ascii="Minion Pro" w:hAnsi="Minion Pro" w:cs="Times New Roman"/>
          <w:bCs/>
          <w:iCs/>
          <w:sz w:val="24"/>
          <w:szCs w:val="24"/>
          <w:lang w:val="en-US"/>
        </w:rPr>
        <w:t>prinsip</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utamanya</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adalah</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moderatisme</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
          <w:iCs/>
          <w:sz w:val="24"/>
          <w:szCs w:val="24"/>
          <w:lang w:val="en-US"/>
        </w:rPr>
        <w:t>wasathiyyah</w:t>
      </w:r>
      <w:proofErr w:type="spellEnd"/>
      <w:r w:rsidRPr="009A5B96">
        <w:rPr>
          <w:rFonts w:ascii="Minion Pro" w:hAnsi="Minion Pro" w:cs="Times New Roman"/>
          <w:bCs/>
          <w:iCs/>
          <w:sz w:val="24"/>
          <w:szCs w:val="24"/>
          <w:lang w:val="en-US"/>
        </w:rPr>
        <w:t xml:space="preserve">) yang </w:t>
      </w:r>
      <w:proofErr w:type="spellStart"/>
      <w:r w:rsidRPr="009A5B96">
        <w:rPr>
          <w:rFonts w:ascii="Minion Pro" w:hAnsi="Minion Pro" w:cs="Times New Roman"/>
          <w:bCs/>
          <w:iCs/>
          <w:sz w:val="24"/>
          <w:szCs w:val="24"/>
          <w:lang w:val="en-US"/>
        </w:rPr>
        <w:t>bermuara</w:t>
      </w:r>
      <w:proofErr w:type="spellEnd"/>
      <w:r w:rsidRPr="009A5B96">
        <w:rPr>
          <w:rFonts w:ascii="Minion Pro" w:hAnsi="Minion Pro" w:cs="Times New Roman"/>
          <w:bCs/>
          <w:iCs/>
          <w:sz w:val="24"/>
          <w:szCs w:val="24"/>
          <w:lang w:val="en-US"/>
        </w:rPr>
        <w:t xml:space="preserve"> pada </w:t>
      </w:r>
      <w:proofErr w:type="spellStart"/>
      <w:r w:rsidRPr="009A5B96">
        <w:rPr>
          <w:rFonts w:ascii="Minion Pro" w:hAnsi="Minion Pro" w:cs="Times New Roman"/>
          <w:bCs/>
          <w:iCs/>
          <w:sz w:val="24"/>
          <w:szCs w:val="24"/>
          <w:lang w:val="en-US"/>
        </w:rPr>
        <w:t>adanya</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fleksibilitas</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berpikir</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dalam</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pandangan</w:t>
      </w:r>
      <w:proofErr w:type="spellEnd"/>
      <w:r w:rsidRPr="009A5B96">
        <w:rPr>
          <w:rFonts w:ascii="Minion Pro" w:hAnsi="Minion Pro" w:cs="Times New Roman"/>
          <w:bCs/>
          <w:iCs/>
          <w:sz w:val="24"/>
          <w:szCs w:val="24"/>
          <w:lang w:val="en-US"/>
        </w:rPr>
        <w:t xml:space="preserve"> dunia (</w:t>
      </w:r>
      <w:r w:rsidRPr="009A5B96">
        <w:rPr>
          <w:rFonts w:ascii="Minion Pro" w:hAnsi="Minion Pro" w:cs="Times New Roman"/>
          <w:bCs/>
          <w:i/>
          <w:iCs/>
          <w:sz w:val="24"/>
          <w:szCs w:val="24"/>
          <w:lang w:val="en-US"/>
        </w:rPr>
        <w:t>worldview</w:t>
      </w:r>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mereka</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terhadap</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realitas</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sosial-budaya</w:t>
      </w:r>
      <w:proofErr w:type="spellEnd"/>
      <w:r w:rsidRPr="009A5B96">
        <w:rPr>
          <w:rFonts w:ascii="Minion Pro" w:hAnsi="Minion Pro" w:cs="Times New Roman"/>
          <w:bCs/>
          <w:iCs/>
          <w:sz w:val="24"/>
          <w:szCs w:val="24"/>
          <w:lang w:val="en-US"/>
        </w:rPr>
        <w:t>.</w:t>
      </w:r>
      <w:r w:rsidRPr="009A5B96">
        <w:rPr>
          <w:rFonts w:ascii="Minion Pro" w:hAnsi="Minion Pro" w:cs="Times New Roman"/>
          <w:bCs/>
          <w:iCs/>
          <w:sz w:val="24"/>
          <w:szCs w:val="24"/>
          <w:vertAlign w:val="superscript"/>
          <w:lang w:val="en-US"/>
        </w:rPr>
        <w:footnoteReference w:id="47"/>
      </w:r>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Sementara</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terkait</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penggunaan</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istilah</w:t>
      </w:r>
      <w:proofErr w:type="spellEnd"/>
      <w:r w:rsidRPr="009A5B96">
        <w:rPr>
          <w:rFonts w:ascii="Minion Pro" w:hAnsi="Minion Pro" w:cs="Times New Roman"/>
          <w:bCs/>
          <w:iCs/>
          <w:sz w:val="24"/>
          <w:szCs w:val="24"/>
          <w:lang w:val="en-US"/>
        </w:rPr>
        <w:t xml:space="preserve"> “kafir” dan “non-Muslim” </w:t>
      </w:r>
      <w:proofErr w:type="spellStart"/>
      <w:r w:rsidRPr="009A5B96">
        <w:rPr>
          <w:rFonts w:ascii="Minion Pro" w:hAnsi="Minion Pro" w:cs="Times New Roman"/>
          <w:bCs/>
          <w:iCs/>
          <w:sz w:val="24"/>
          <w:szCs w:val="24"/>
          <w:lang w:val="en-US"/>
        </w:rPr>
        <w:t>untuk</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menyebut</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umat</w:t>
      </w:r>
      <w:proofErr w:type="spellEnd"/>
      <w:r w:rsidRPr="009A5B96">
        <w:rPr>
          <w:rFonts w:ascii="Minion Pro" w:hAnsi="Minion Pro" w:cs="Times New Roman"/>
          <w:bCs/>
          <w:iCs/>
          <w:sz w:val="24"/>
          <w:szCs w:val="24"/>
          <w:lang w:val="en-US"/>
        </w:rPr>
        <w:t xml:space="preserve"> agama lain </w:t>
      </w:r>
      <w:proofErr w:type="spellStart"/>
      <w:r w:rsidRPr="009A5B96">
        <w:rPr>
          <w:rFonts w:ascii="Minion Pro" w:hAnsi="Minion Pro" w:cs="Times New Roman"/>
          <w:bCs/>
          <w:iCs/>
          <w:sz w:val="24"/>
          <w:szCs w:val="24"/>
          <w:lang w:val="en-US"/>
        </w:rPr>
        <w:t>dalam</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Bahtsul</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Masail</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semuanya</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bisa</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dilacak</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dengan</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mencermati</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teks</w:t>
      </w:r>
      <w:proofErr w:type="spellEnd"/>
      <w:r w:rsidRPr="009A5B96">
        <w:rPr>
          <w:rFonts w:ascii="Minion Pro" w:hAnsi="Minion Pro" w:cs="Times New Roman"/>
          <w:bCs/>
          <w:iCs/>
          <w:sz w:val="24"/>
          <w:szCs w:val="24"/>
          <w:lang w:val="en-US"/>
        </w:rPr>
        <w:t xml:space="preserve"> fatwa </w:t>
      </w:r>
      <w:proofErr w:type="spellStart"/>
      <w:r w:rsidRPr="009A5B96">
        <w:rPr>
          <w:rFonts w:ascii="Minion Pro" w:hAnsi="Minion Pro" w:cs="Times New Roman"/>
          <w:bCs/>
          <w:iCs/>
          <w:sz w:val="24"/>
          <w:szCs w:val="24"/>
          <w:lang w:val="en-US"/>
        </w:rPr>
        <w:t>hasil</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Bahtsul</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Masail</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sejak</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awal</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baik</w:t>
      </w:r>
      <w:proofErr w:type="spellEnd"/>
      <w:r w:rsidRPr="009A5B96">
        <w:rPr>
          <w:rFonts w:ascii="Minion Pro" w:hAnsi="Minion Pro" w:cs="Times New Roman"/>
          <w:bCs/>
          <w:iCs/>
          <w:sz w:val="24"/>
          <w:szCs w:val="24"/>
          <w:lang w:val="en-US"/>
        </w:rPr>
        <w:t xml:space="preserve"> level PBNU </w:t>
      </w:r>
      <w:proofErr w:type="spellStart"/>
      <w:r w:rsidRPr="009A5B96">
        <w:rPr>
          <w:rFonts w:ascii="Minion Pro" w:hAnsi="Minion Pro" w:cs="Times New Roman"/>
          <w:bCs/>
          <w:iCs/>
          <w:sz w:val="24"/>
          <w:szCs w:val="24"/>
          <w:lang w:val="en-US"/>
        </w:rPr>
        <w:t>maupun</w:t>
      </w:r>
      <w:proofErr w:type="spellEnd"/>
      <w:r w:rsidRPr="009A5B96">
        <w:rPr>
          <w:rFonts w:ascii="Minion Pro" w:hAnsi="Minion Pro" w:cs="Times New Roman"/>
          <w:bCs/>
          <w:iCs/>
          <w:sz w:val="24"/>
          <w:szCs w:val="24"/>
          <w:lang w:val="en-US"/>
        </w:rPr>
        <w:t xml:space="preserve"> PWNU </w:t>
      </w:r>
      <w:proofErr w:type="spellStart"/>
      <w:r w:rsidRPr="009A5B96">
        <w:rPr>
          <w:rFonts w:ascii="Minion Pro" w:hAnsi="Minion Pro" w:cs="Times New Roman"/>
          <w:bCs/>
          <w:iCs/>
          <w:sz w:val="24"/>
          <w:szCs w:val="24"/>
          <w:lang w:val="en-US"/>
        </w:rPr>
        <w:t>Jawa</w:t>
      </w:r>
      <w:proofErr w:type="spellEnd"/>
      <w:r w:rsidRPr="009A5B96">
        <w:rPr>
          <w:rFonts w:ascii="Minion Pro" w:hAnsi="Minion Pro" w:cs="Times New Roman"/>
          <w:bCs/>
          <w:iCs/>
          <w:sz w:val="24"/>
          <w:szCs w:val="24"/>
          <w:lang w:val="en-US"/>
        </w:rPr>
        <w:t xml:space="preserve"> Timur.</w:t>
      </w:r>
    </w:p>
    <w:p w14:paraId="6B2067AE" w14:textId="77777777" w:rsidR="009A5B96" w:rsidRPr="009A5B96" w:rsidRDefault="009A5B96" w:rsidP="009A5B96">
      <w:pPr>
        <w:spacing w:line="240" w:lineRule="auto"/>
        <w:jc w:val="both"/>
        <w:rPr>
          <w:rFonts w:ascii="Minion Pro" w:hAnsi="Minion Pro" w:cs="Times New Roman"/>
          <w:bCs/>
          <w:iCs/>
          <w:sz w:val="24"/>
          <w:szCs w:val="24"/>
        </w:rPr>
      </w:pPr>
      <w:proofErr w:type="spellStart"/>
      <w:r w:rsidRPr="009A5B96">
        <w:rPr>
          <w:rFonts w:ascii="Minion Pro" w:hAnsi="Minion Pro" w:cs="Times New Roman"/>
          <w:bCs/>
          <w:iCs/>
          <w:sz w:val="24"/>
          <w:szCs w:val="24"/>
          <w:lang w:val="en-US"/>
        </w:rPr>
        <w:t>Terkit</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poin</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terakhir</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ini</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peralihan</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dekade</w:t>
      </w:r>
      <w:proofErr w:type="spellEnd"/>
      <w:r w:rsidRPr="009A5B96">
        <w:rPr>
          <w:rFonts w:ascii="Minion Pro" w:hAnsi="Minion Pro" w:cs="Times New Roman"/>
          <w:bCs/>
          <w:iCs/>
          <w:sz w:val="24"/>
          <w:szCs w:val="24"/>
          <w:lang w:val="en-US"/>
        </w:rPr>
        <w:t xml:space="preserve"> 1970-</w:t>
      </w:r>
      <w:proofErr w:type="gramStart"/>
      <w:r w:rsidRPr="009A5B96">
        <w:rPr>
          <w:rFonts w:ascii="Minion Pro" w:hAnsi="Minion Pro" w:cs="Times New Roman"/>
          <w:bCs/>
          <w:iCs/>
          <w:sz w:val="24"/>
          <w:szCs w:val="24"/>
          <w:lang w:val="en-US"/>
        </w:rPr>
        <w:t>an</w:t>
      </w:r>
      <w:proofErr w:type="gramEnd"/>
      <w:r w:rsidRPr="009A5B96">
        <w:rPr>
          <w:rFonts w:ascii="Minion Pro" w:hAnsi="Minion Pro" w:cs="Times New Roman"/>
          <w:bCs/>
          <w:iCs/>
          <w:sz w:val="24"/>
          <w:szCs w:val="24"/>
          <w:lang w:val="en-US"/>
        </w:rPr>
        <w:t xml:space="preserve"> dan 1980-an </w:t>
      </w:r>
      <w:proofErr w:type="spellStart"/>
      <w:r w:rsidRPr="009A5B96">
        <w:rPr>
          <w:rFonts w:ascii="Minion Pro" w:hAnsi="Minion Pro" w:cs="Times New Roman"/>
          <w:bCs/>
          <w:iCs/>
          <w:sz w:val="24"/>
          <w:szCs w:val="24"/>
          <w:lang w:val="en-US"/>
        </w:rPr>
        <w:t>menjadi</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titik-balik</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perubahan</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penggunaan</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istilah</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dari</w:t>
      </w:r>
      <w:proofErr w:type="spellEnd"/>
      <w:r w:rsidRPr="009A5B96">
        <w:rPr>
          <w:rFonts w:ascii="Minion Pro" w:hAnsi="Minion Pro" w:cs="Times New Roman"/>
          <w:bCs/>
          <w:iCs/>
          <w:sz w:val="24"/>
          <w:szCs w:val="24"/>
          <w:lang w:val="en-US"/>
        </w:rPr>
        <w:t xml:space="preserve"> “kafir” </w:t>
      </w:r>
      <w:proofErr w:type="spellStart"/>
      <w:r w:rsidRPr="009A5B96">
        <w:rPr>
          <w:rFonts w:ascii="Minion Pro" w:hAnsi="Minion Pro" w:cs="Times New Roman"/>
          <w:bCs/>
          <w:iCs/>
          <w:sz w:val="24"/>
          <w:szCs w:val="24"/>
          <w:lang w:val="en-US"/>
        </w:rPr>
        <w:t>menjadi</w:t>
      </w:r>
      <w:proofErr w:type="spellEnd"/>
      <w:r w:rsidRPr="009A5B96">
        <w:rPr>
          <w:rFonts w:ascii="Minion Pro" w:hAnsi="Minion Pro" w:cs="Times New Roman"/>
          <w:bCs/>
          <w:iCs/>
          <w:sz w:val="24"/>
          <w:szCs w:val="24"/>
          <w:lang w:val="en-US"/>
        </w:rPr>
        <w:t xml:space="preserve"> “non-Muslim” </w:t>
      </w:r>
      <w:proofErr w:type="spellStart"/>
      <w:r w:rsidRPr="009A5B96">
        <w:rPr>
          <w:rFonts w:ascii="Minion Pro" w:hAnsi="Minion Pro" w:cs="Times New Roman"/>
          <w:bCs/>
          <w:iCs/>
          <w:sz w:val="24"/>
          <w:szCs w:val="24"/>
          <w:lang w:val="en-US"/>
        </w:rPr>
        <w:t>dalam</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Bahtsul</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Masail</w:t>
      </w:r>
      <w:proofErr w:type="spellEnd"/>
      <w:r w:rsidRPr="009A5B96">
        <w:rPr>
          <w:rFonts w:ascii="Minion Pro" w:hAnsi="Minion Pro" w:cs="Times New Roman"/>
          <w:bCs/>
          <w:iCs/>
          <w:sz w:val="24"/>
          <w:szCs w:val="24"/>
          <w:lang w:val="en-US"/>
        </w:rPr>
        <w:t xml:space="preserve">. Pada level PBNU, </w:t>
      </w:r>
      <w:proofErr w:type="spellStart"/>
      <w:r w:rsidRPr="009A5B96">
        <w:rPr>
          <w:rFonts w:ascii="Minion Pro" w:hAnsi="Minion Pro" w:cs="Times New Roman"/>
          <w:bCs/>
          <w:iCs/>
          <w:sz w:val="24"/>
          <w:szCs w:val="24"/>
          <w:lang w:val="en-US"/>
        </w:rPr>
        <w:t>perubahan</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itu</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terjadi</w:t>
      </w:r>
      <w:proofErr w:type="spellEnd"/>
      <w:r w:rsidRPr="009A5B96">
        <w:rPr>
          <w:rFonts w:ascii="Minion Pro" w:hAnsi="Minion Pro" w:cs="Times New Roman"/>
          <w:bCs/>
          <w:iCs/>
          <w:sz w:val="24"/>
          <w:szCs w:val="24"/>
          <w:lang w:val="en-US"/>
        </w:rPr>
        <w:t xml:space="preserve"> pada </w:t>
      </w:r>
      <w:proofErr w:type="spellStart"/>
      <w:r w:rsidRPr="009A5B96">
        <w:rPr>
          <w:rFonts w:ascii="Minion Pro" w:hAnsi="Minion Pro" w:cs="Times New Roman"/>
          <w:bCs/>
          <w:iCs/>
          <w:sz w:val="24"/>
          <w:szCs w:val="24"/>
          <w:lang w:val="en-US"/>
        </w:rPr>
        <w:t>Bahtsul</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Masail</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tahun</w:t>
      </w:r>
      <w:proofErr w:type="spellEnd"/>
      <w:r w:rsidRPr="009A5B96">
        <w:rPr>
          <w:rFonts w:ascii="Minion Pro" w:hAnsi="Minion Pro" w:cs="Times New Roman"/>
          <w:bCs/>
          <w:iCs/>
          <w:sz w:val="24"/>
          <w:szCs w:val="24"/>
          <w:lang w:val="en-US"/>
        </w:rPr>
        <w:t xml:space="preserve"> 1979; </w:t>
      </w:r>
      <w:proofErr w:type="spellStart"/>
      <w:r w:rsidRPr="009A5B96">
        <w:rPr>
          <w:rFonts w:ascii="Minion Pro" w:hAnsi="Minion Pro" w:cs="Times New Roman"/>
          <w:bCs/>
          <w:iCs/>
          <w:sz w:val="24"/>
          <w:szCs w:val="24"/>
          <w:lang w:val="en-US"/>
        </w:rPr>
        <w:t>dalam</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artian</w:t>
      </w:r>
      <w:proofErr w:type="spellEnd"/>
      <w:r w:rsidRPr="009A5B96">
        <w:rPr>
          <w:rFonts w:ascii="Minion Pro" w:hAnsi="Minion Pro" w:cs="Times New Roman"/>
          <w:bCs/>
          <w:iCs/>
          <w:sz w:val="24"/>
          <w:szCs w:val="24"/>
          <w:lang w:val="en-US"/>
        </w:rPr>
        <w:t xml:space="preserve">, fatwa </w:t>
      </w:r>
      <w:proofErr w:type="spellStart"/>
      <w:r w:rsidRPr="009A5B96">
        <w:rPr>
          <w:rFonts w:ascii="Minion Pro" w:hAnsi="Minion Pro" w:cs="Times New Roman"/>
          <w:bCs/>
          <w:iCs/>
          <w:sz w:val="24"/>
          <w:szCs w:val="24"/>
          <w:lang w:val="en-US"/>
        </w:rPr>
        <w:t>Bahtsul</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Masail</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sejak</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edisi</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itu</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mulai</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mengggunakan</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istilah</w:t>
      </w:r>
      <w:proofErr w:type="spellEnd"/>
      <w:r w:rsidRPr="009A5B96">
        <w:rPr>
          <w:rFonts w:ascii="Minion Pro" w:hAnsi="Minion Pro" w:cs="Times New Roman"/>
          <w:bCs/>
          <w:iCs/>
          <w:sz w:val="24"/>
          <w:szCs w:val="24"/>
          <w:lang w:val="en-US"/>
        </w:rPr>
        <w:t xml:space="preserve"> </w:t>
      </w:r>
      <w:r w:rsidRPr="009A5B96">
        <w:rPr>
          <w:rFonts w:ascii="Minion Pro" w:hAnsi="Minion Pro" w:cs="Times New Roman"/>
          <w:bCs/>
          <w:iCs/>
          <w:sz w:val="24"/>
          <w:szCs w:val="24"/>
          <w:lang w:val="en-US"/>
        </w:rPr>
        <w:lastRenderedPageBreak/>
        <w:t xml:space="preserve">“non-Muslim” </w:t>
      </w:r>
      <w:proofErr w:type="spellStart"/>
      <w:r w:rsidRPr="009A5B96">
        <w:rPr>
          <w:rFonts w:ascii="Minion Pro" w:hAnsi="Minion Pro" w:cs="Times New Roman"/>
          <w:bCs/>
          <w:iCs/>
          <w:sz w:val="24"/>
          <w:szCs w:val="24"/>
          <w:lang w:val="en-US"/>
        </w:rPr>
        <w:t>untuk</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menyebut</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umat</w:t>
      </w:r>
      <w:proofErr w:type="spellEnd"/>
      <w:r w:rsidRPr="009A5B96">
        <w:rPr>
          <w:rFonts w:ascii="Minion Pro" w:hAnsi="Minion Pro" w:cs="Times New Roman"/>
          <w:bCs/>
          <w:iCs/>
          <w:sz w:val="24"/>
          <w:szCs w:val="24"/>
          <w:lang w:val="en-US"/>
        </w:rPr>
        <w:t xml:space="preserve"> agama lain. </w:t>
      </w:r>
      <w:proofErr w:type="spellStart"/>
      <w:r w:rsidRPr="009A5B96">
        <w:rPr>
          <w:rFonts w:ascii="Minion Pro" w:hAnsi="Minion Pro" w:cs="Times New Roman"/>
          <w:bCs/>
          <w:iCs/>
          <w:sz w:val="24"/>
          <w:szCs w:val="24"/>
          <w:lang w:val="en-US"/>
        </w:rPr>
        <w:t>Sebelum</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edisi</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itu</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istilah</w:t>
      </w:r>
      <w:proofErr w:type="spellEnd"/>
      <w:r w:rsidRPr="009A5B96">
        <w:rPr>
          <w:rFonts w:ascii="Minion Pro" w:hAnsi="Minion Pro" w:cs="Times New Roman"/>
          <w:bCs/>
          <w:iCs/>
          <w:sz w:val="24"/>
          <w:szCs w:val="24"/>
          <w:lang w:val="en-US"/>
        </w:rPr>
        <w:t xml:space="preserve"> “kafir” </w:t>
      </w:r>
      <w:proofErr w:type="spellStart"/>
      <w:r w:rsidRPr="009A5B96">
        <w:rPr>
          <w:rFonts w:ascii="Minion Pro" w:hAnsi="Minion Pro" w:cs="Times New Roman"/>
          <w:bCs/>
          <w:iCs/>
          <w:sz w:val="24"/>
          <w:szCs w:val="24"/>
          <w:lang w:val="en-US"/>
        </w:rPr>
        <w:t>selalu</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tertulis</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dalam</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setiap</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teks</w:t>
      </w:r>
      <w:proofErr w:type="spellEnd"/>
      <w:r w:rsidRPr="009A5B96">
        <w:rPr>
          <w:rFonts w:ascii="Minion Pro" w:hAnsi="Minion Pro" w:cs="Times New Roman"/>
          <w:bCs/>
          <w:iCs/>
          <w:sz w:val="24"/>
          <w:szCs w:val="24"/>
          <w:lang w:val="en-US"/>
        </w:rPr>
        <w:t xml:space="preserve"> fatwa yang </w:t>
      </w:r>
      <w:proofErr w:type="spellStart"/>
      <w:r w:rsidRPr="009A5B96">
        <w:rPr>
          <w:rFonts w:ascii="Minion Pro" w:hAnsi="Minion Pro" w:cs="Times New Roman"/>
          <w:bCs/>
          <w:iCs/>
          <w:sz w:val="24"/>
          <w:szCs w:val="24"/>
          <w:lang w:val="en-US"/>
        </w:rPr>
        <w:t>berhubungan</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dengan</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relasi</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antara</w:t>
      </w:r>
      <w:proofErr w:type="spellEnd"/>
      <w:r w:rsidRPr="009A5B96">
        <w:rPr>
          <w:rFonts w:ascii="Minion Pro" w:hAnsi="Minion Pro" w:cs="Times New Roman"/>
          <w:bCs/>
          <w:iCs/>
          <w:sz w:val="24"/>
          <w:szCs w:val="24"/>
          <w:lang w:val="en-US"/>
        </w:rPr>
        <w:t xml:space="preserve"> Muslim dan non-Muslim.</w:t>
      </w:r>
      <w:r w:rsidRPr="009A5B96">
        <w:rPr>
          <w:rFonts w:ascii="Minion Pro" w:hAnsi="Minion Pro" w:cs="Times New Roman"/>
          <w:bCs/>
          <w:iCs/>
          <w:sz w:val="24"/>
          <w:szCs w:val="24"/>
          <w:vertAlign w:val="superscript"/>
          <w:lang w:val="en-US"/>
        </w:rPr>
        <w:footnoteReference w:id="48"/>
      </w:r>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Tren</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perubahan</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istilah</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tersebut</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segera</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diikuti</w:t>
      </w:r>
      <w:proofErr w:type="spellEnd"/>
      <w:r w:rsidRPr="009A5B96">
        <w:rPr>
          <w:rFonts w:ascii="Minion Pro" w:hAnsi="Minion Pro" w:cs="Times New Roman"/>
          <w:bCs/>
          <w:iCs/>
          <w:sz w:val="24"/>
          <w:szCs w:val="24"/>
          <w:lang w:val="en-US"/>
        </w:rPr>
        <w:t xml:space="preserve"> oleh </w:t>
      </w:r>
      <w:proofErr w:type="spellStart"/>
      <w:r w:rsidRPr="009A5B96">
        <w:rPr>
          <w:rFonts w:ascii="Minion Pro" w:hAnsi="Minion Pro" w:cs="Times New Roman"/>
          <w:bCs/>
          <w:iCs/>
          <w:sz w:val="24"/>
          <w:szCs w:val="24"/>
          <w:lang w:val="en-US"/>
        </w:rPr>
        <w:t>Bahtsul</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Masail</w:t>
      </w:r>
      <w:proofErr w:type="spellEnd"/>
      <w:r w:rsidRPr="009A5B96">
        <w:rPr>
          <w:rFonts w:ascii="Minion Pro" w:hAnsi="Minion Pro" w:cs="Times New Roman"/>
          <w:bCs/>
          <w:iCs/>
          <w:sz w:val="24"/>
          <w:szCs w:val="24"/>
          <w:lang w:val="en-US"/>
        </w:rPr>
        <w:t xml:space="preserve"> level PWNU </w:t>
      </w:r>
      <w:proofErr w:type="spellStart"/>
      <w:r w:rsidRPr="009A5B96">
        <w:rPr>
          <w:rFonts w:ascii="Minion Pro" w:hAnsi="Minion Pro" w:cs="Times New Roman"/>
          <w:bCs/>
          <w:iCs/>
          <w:sz w:val="24"/>
          <w:szCs w:val="24"/>
          <w:lang w:val="en-US"/>
        </w:rPr>
        <w:t>Jawa</w:t>
      </w:r>
      <w:proofErr w:type="spellEnd"/>
      <w:r w:rsidRPr="009A5B96">
        <w:rPr>
          <w:rFonts w:ascii="Minion Pro" w:hAnsi="Minion Pro" w:cs="Times New Roman"/>
          <w:bCs/>
          <w:iCs/>
          <w:sz w:val="24"/>
          <w:szCs w:val="24"/>
          <w:lang w:val="en-US"/>
        </w:rPr>
        <w:t xml:space="preserve"> Timur. </w:t>
      </w:r>
      <w:proofErr w:type="spellStart"/>
      <w:r w:rsidRPr="009A5B96">
        <w:rPr>
          <w:rFonts w:ascii="Minion Pro" w:hAnsi="Minion Pro" w:cs="Times New Roman"/>
          <w:bCs/>
          <w:iCs/>
          <w:sz w:val="24"/>
          <w:szCs w:val="24"/>
          <w:lang w:val="en-US"/>
        </w:rPr>
        <w:t>Sejak</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edisi</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tahun</w:t>
      </w:r>
      <w:proofErr w:type="spellEnd"/>
      <w:r w:rsidRPr="009A5B96">
        <w:rPr>
          <w:rFonts w:ascii="Minion Pro" w:hAnsi="Minion Pro" w:cs="Times New Roman"/>
          <w:bCs/>
          <w:iCs/>
          <w:sz w:val="24"/>
          <w:szCs w:val="24"/>
          <w:lang w:val="en-US"/>
        </w:rPr>
        <w:t xml:space="preserve"> 1982, </w:t>
      </w:r>
      <w:proofErr w:type="spellStart"/>
      <w:r w:rsidRPr="009A5B96">
        <w:rPr>
          <w:rFonts w:ascii="Minion Pro" w:hAnsi="Minion Pro" w:cs="Times New Roman"/>
          <w:bCs/>
          <w:iCs/>
          <w:sz w:val="24"/>
          <w:szCs w:val="24"/>
          <w:lang w:val="en-US"/>
        </w:rPr>
        <w:t>teks</w:t>
      </w:r>
      <w:proofErr w:type="spellEnd"/>
      <w:r w:rsidRPr="009A5B96">
        <w:rPr>
          <w:rFonts w:ascii="Minion Pro" w:hAnsi="Minion Pro" w:cs="Times New Roman"/>
          <w:bCs/>
          <w:iCs/>
          <w:sz w:val="24"/>
          <w:szCs w:val="24"/>
          <w:lang w:val="en-US"/>
        </w:rPr>
        <w:t xml:space="preserve"> fatwa yang </w:t>
      </w:r>
      <w:proofErr w:type="spellStart"/>
      <w:r w:rsidRPr="009A5B96">
        <w:rPr>
          <w:rFonts w:ascii="Minion Pro" w:hAnsi="Minion Pro" w:cs="Times New Roman"/>
          <w:bCs/>
          <w:iCs/>
          <w:sz w:val="24"/>
          <w:szCs w:val="24"/>
          <w:lang w:val="en-US"/>
        </w:rPr>
        <w:t>dihasilkan</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mulai</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menggunakan</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istilah</w:t>
      </w:r>
      <w:proofErr w:type="spellEnd"/>
      <w:r w:rsidRPr="009A5B96">
        <w:rPr>
          <w:rFonts w:ascii="Minion Pro" w:hAnsi="Minion Pro" w:cs="Times New Roman"/>
          <w:bCs/>
          <w:iCs/>
          <w:sz w:val="24"/>
          <w:szCs w:val="24"/>
          <w:lang w:val="en-US"/>
        </w:rPr>
        <w:t xml:space="preserve"> “non-Islam” dan “non-Muslim”.</w:t>
      </w:r>
      <w:r w:rsidRPr="009A5B96">
        <w:rPr>
          <w:rFonts w:ascii="Minion Pro" w:hAnsi="Minion Pro" w:cs="Times New Roman"/>
          <w:bCs/>
          <w:iCs/>
          <w:sz w:val="24"/>
          <w:szCs w:val="24"/>
          <w:vertAlign w:val="superscript"/>
          <w:lang w:val="en-US"/>
        </w:rPr>
        <w:footnoteReference w:id="49"/>
      </w:r>
    </w:p>
    <w:p w14:paraId="55367CFD" w14:textId="77777777" w:rsidR="009A5B96" w:rsidRPr="009A5B96" w:rsidRDefault="009A5B96" w:rsidP="009A5B96">
      <w:pPr>
        <w:spacing w:line="240" w:lineRule="auto"/>
        <w:jc w:val="both"/>
        <w:rPr>
          <w:rFonts w:ascii="Minion Pro" w:hAnsi="Minion Pro" w:cs="Times New Roman"/>
          <w:bCs/>
          <w:iCs/>
          <w:sz w:val="24"/>
          <w:szCs w:val="24"/>
          <w:lang w:val="en-US"/>
        </w:rPr>
      </w:pPr>
      <w:proofErr w:type="spellStart"/>
      <w:r w:rsidRPr="009A5B96">
        <w:rPr>
          <w:rFonts w:ascii="Minion Pro" w:hAnsi="Minion Pro" w:cs="Times New Roman"/>
          <w:bCs/>
          <w:iCs/>
          <w:sz w:val="24"/>
          <w:szCs w:val="24"/>
          <w:lang w:val="en-US"/>
        </w:rPr>
        <w:t>Sekurang-kurangnya</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ada</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dua</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hal</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penting</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berkenaan</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dengan</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tren</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perubahan</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istilah</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tersebut</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Pertama</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penggunaan</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istilah</w:t>
      </w:r>
      <w:proofErr w:type="spellEnd"/>
      <w:r w:rsidRPr="009A5B96">
        <w:rPr>
          <w:rFonts w:ascii="Minion Pro" w:hAnsi="Minion Pro" w:cs="Times New Roman"/>
          <w:bCs/>
          <w:iCs/>
          <w:sz w:val="24"/>
          <w:szCs w:val="24"/>
          <w:lang w:val="en-US"/>
        </w:rPr>
        <w:t xml:space="preserve"> “kafir” </w:t>
      </w:r>
      <w:proofErr w:type="spellStart"/>
      <w:r w:rsidRPr="009A5B96">
        <w:rPr>
          <w:rFonts w:ascii="Minion Pro" w:hAnsi="Minion Pro" w:cs="Times New Roman"/>
          <w:bCs/>
          <w:iCs/>
          <w:sz w:val="24"/>
          <w:szCs w:val="24"/>
          <w:lang w:val="en-US"/>
        </w:rPr>
        <w:t>dalam</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Bahtsul</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Masail</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sebelum</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edisi</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tahun</w:t>
      </w:r>
      <w:proofErr w:type="spellEnd"/>
      <w:r w:rsidRPr="009A5B96">
        <w:rPr>
          <w:rFonts w:ascii="Minion Pro" w:hAnsi="Minion Pro" w:cs="Times New Roman"/>
          <w:bCs/>
          <w:iCs/>
          <w:sz w:val="24"/>
          <w:szCs w:val="24"/>
          <w:lang w:val="en-US"/>
        </w:rPr>
        <w:t xml:space="preserve"> 1979 </w:t>
      </w:r>
      <w:proofErr w:type="spellStart"/>
      <w:r w:rsidRPr="009A5B96">
        <w:rPr>
          <w:rFonts w:ascii="Minion Pro" w:hAnsi="Minion Pro" w:cs="Times New Roman"/>
          <w:bCs/>
          <w:iCs/>
          <w:sz w:val="24"/>
          <w:szCs w:val="24"/>
          <w:lang w:val="en-US"/>
        </w:rPr>
        <w:t>berakar</w:t>
      </w:r>
      <w:proofErr w:type="spellEnd"/>
      <w:r w:rsidRPr="009A5B96">
        <w:rPr>
          <w:rFonts w:ascii="Minion Pro" w:hAnsi="Minion Pro" w:cs="Times New Roman"/>
          <w:bCs/>
          <w:iCs/>
          <w:sz w:val="24"/>
          <w:szCs w:val="24"/>
          <w:lang w:val="en-US"/>
        </w:rPr>
        <w:t xml:space="preserve"> pada </w:t>
      </w:r>
      <w:proofErr w:type="spellStart"/>
      <w:r w:rsidRPr="009A5B96">
        <w:rPr>
          <w:rFonts w:ascii="Minion Pro" w:hAnsi="Minion Pro" w:cs="Times New Roman"/>
          <w:bCs/>
          <w:iCs/>
          <w:sz w:val="24"/>
          <w:szCs w:val="24"/>
          <w:lang w:val="en-US"/>
        </w:rPr>
        <w:t>sejarah</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panjang</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perlawanan</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terhadap</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kolonialisme</w:t>
      </w:r>
      <w:proofErr w:type="spellEnd"/>
      <w:r w:rsidRPr="009A5B96">
        <w:rPr>
          <w:rFonts w:ascii="Minion Pro" w:hAnsi="Minion Pro" w:cs="Times New Roman"/>
          <w:bCs/>
          <w:iCs/>
          <w:sz w:val="24"/>
          <w:szCs w:val="24"/>
          <w:lang w:val="en-US"/>
        </w:rPr>
        <w:t xml:space="preserve"> Belanda. Fatwa </w:t>
      </w:r>
      <w:proofErr w:type="spellStart"/>
      <w:r w:rsidRPr="009A5B96">
        <w:rPr>
          <w:rFonts w:ascii="Minion Pro" w:hAnsi="Minion Pro" w:cs="Times New Roman"/>
          <w:bCs/>
          <w:iCs/>
          <w:sz w:val="24"/>
          <w:szCs w:val="24"/>
          <w:lang w:val="en-US"/>
        </w:rPr>
        <w:t>hasil</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Bahtsul</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Masail</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edisi</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tahun</w:t>
      </w:r>
      <w:proofErr w:type="spellEnd"/>
      <w:r w:rsidRPr="009A5B96">
        <w:rPr>
          <w:rFonts w:ascii="Minion Pro" w:hAnsi="Minion Pro" w:cs="Times New Roman"/>
          <w:bCs/>
          <w:iCs/>
          <w:sz w:val="24"/>
          <w:szCs w:val="24"/>
          <w:lang w:val="en-US"/>
        </w:rPr>
        <w:t xml:space="preserve"> 1927 yang </w:t>
      </w:r>
      <w:proofErr w:type="spellStart"/>
      <w:r w:rsidRPr="009A5B96">
        <w:rPr>
          <w:rFonts w:ascii="Minion Pro" w:hAnsi="Minion Pro" w:cs="Times New Roman"/>
          <w:bCs/>
          <w:iCs/>
          <w:sz w:val="24"/>
          <w:szCs w:val="24"/>
          <w:lang w:val="en-US"/>
        </w:rPr>
        <w:t>mengharamkan</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memakai</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dasi</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celana</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panjang</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sepatu</w:t>
      </w:r>
      <w:proofErr w:type="spellEnd"/>
      <w:r w:rsidRPr="009A5B96">
        <w:rPr>
          <w:rFonts w:ascii="Minion Pro" w:hAnsi="Minion Pro" w:cs="Times New Roman"/>
          <w:bCs/>
          <w:iCs/>
          <w:sz w:val="24"/>
          <w:szCs w:val="24"/>
          <w:lang w:val="en-US"/>
        </w:rPr>
        <w:t xml:space="preserve">, dan topi </w:t>
      </w:r>
      <w:proofErr w:type="spellStart"/>
      <w:r w:rsidRPr="009A5B96">
        <w:rPr>
          <w:rFonts w:ascii="Minion Pro" w:hAnsi="Minion Pro" w:cs="Times New Roman"/>
          <w:bCs/>
          <w:iCs/>
          <w:sz w:val="24"/>
          <w:szCs w:val="24"/>
          <w:lang w:val="en-US"/>
        </w:rPr>
        <w:t>adalah</w:t>
      </w:r>
      <w:proofErr w:type="spellEnd"/>
      <w:r w:rsidRPr="009A5B96">
        <w:rPr>
          <w:rFonts w:ascii="Minion Pro" w:hAnsi="Minion Pro" w:cs="Times New Roman"/>
          <w:bCs/>
          <w:iCs/>
          <w:sz w:val="24"/>
          <w:szCs w:val="24"/>
          <w:lang w:val="en-US"/>
        </w:rPr>
        <w:t xml:space="preserve"> salah </w:t>
      </w:r>
      <w:proofErr w:type="spellStart"/>
      <w:r w:rsidRPr="009A5B96">
        <w:rPr>
          <w:rFonts w:ascii="Minion Pro" w:hAnsi="Minion Pro" w:cs="Times New Roman"/>
          <w:bCs/>
          <w:iCs/>
          <w:sz w:val="24"/>
          <w:szCs w:val="24"/>
          <w:lang w:val="en-US"/>
        </w:rPr>
        <w:t>satu</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contohnya</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Argumen</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teologis</w:t>
      </w:r>
      <w:proofErr w:type="spellEnd"/>
      <w:r w:rsidRPr="009A5B96">
        <w:rPr>
          <w:rFonts w:ascii="Minion Pro" w:hAnsi="Minion Pro" w:cs="Times New Roman"/>
          <w:bCs/>
          <w:iCs/>
          <w:sz w:val="24"/>
          <w:szCs w:val="24"/>
          <w:lang w:val="en-US"/>
        </w:rPr>
        <w:t xml:space="preserve"> yang </w:t>
      </w:r>
      <w:proofErr w:type="spellStart"/>
      <w:r w:rsidRPr="009A5B96">
        <w:rPr>
          <w:rFonts w:ascii="Minion Pro" w:hAnsi="Minion Pro" w:cs="Times New Roman"/>
          <w:bCs/>
          <w:iCs/>
          <w:sz w:val="24"/>
          <w:szCs w:val="24"/>
          <w:lang w:val="en-US"/>
        </w:rPr>
        <w:t>diacu</w:t>
      </w:r>
      <w:proofErr w:type="spellEnd"/>
      <w:r w:rsidRPr="009A5B96">
        <w:rPr>
          <w:rFonts w:ascii="Minion Pro" w:hAnsi="Minion Pro" w:cs="Times New Roman"/>
          <w:bCs/>
          <w:iCs/>
          <w:sz w:val="24"/>
          <w:szCs w:val="24"/>
          <w:lang w:val="en-US"/>
        </w:rPr>
        <w:t xml:space="preserve"> oleh fatwa </w:t>
      </w:r>
      <w:proofErr w:type="spellStart"/>
      <w:r w:rsidRPr="009A5B96">
        <w:rPr>
          <w:rFonts w:ascii="Minion Pro" w:hAnsi="Minion Pro" w:cs="Times New Roman"/>
          <w:bCs/>
          <w:iCs/>
          <w:sz w:val="24"/>
          <w:szCs w:val="24"/>
          <w:lang w:val="en-US"/>
        </w:rPr>
        <w:t>ini</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adalah</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bahwa</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dasi</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celana</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panjang</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sepatu</w:t>
      </w:r>
      <w:proofErr w:type="spellEnd"/>
      <w:r w:rsidRPr="009A5B96">
        <w:rPr>
          <w:rFonts w:ascii="Minion Pro" w:hAnsi="Minion Pro" w:cs="Times New Roman"/>
          <w:bCs/>
          <w:iCs/>
          <w:sz w:val="24"/>
          <w:szCs w:val="24"/>
          <w:lang w:val="en-US"/>
        </w:rPr>
        <w:t xml:space="preserve">, dan topi </w:t>
      </w:r>
      <w:r w:rsidRPr="009A5B96">
        <w:rPr>
          <w:rFonts w:ascii="Minion Pro" w:hAnsi="Minion Pro" w:cs="Times New Roman"/>
          <w:bCs/>
          <w:iCs/>
          <w:sz w:val="24"/>
          <w:szCs w:val="24"/>
        </w:rPr>
        <w:t>adalah pakaian khas bangsa Eropa yang kafir, sehingga memakainya bisa dianggap sebagai “menyerupai” (</w:t>
      </w:r>
      <w:r w:rsidRPr="009A5B96">
        <w:rPr>
          <w:rFonts w:ascii="Minion Pro" w:hAnsi="Minion Pro" w:cs="Times New Roman"/>
          <w:bCs/>
          <w:i/>
          <w:iCs/>
          <w:sz w:val="24"/>
          <w:szCs w:val="24"/>
        </w:rPr>
        <w:t>tasyabbuh</w:t>
      </w:r>
      <w:r w:rsidRPr="009A5B96">
        <w:rPr>
          <w:rFonts w:ascii="Minion Pro" w:hAnsi="Minion Pro" w:cs="Times New Roman"/>
          <w:bCs/>
          <w:iCs/>
          <w:sz w:val="24"/>
          <w:szCs w:val="24"/>
        </w:rPr>
        <w:t>) mereka.</w:t>
      </w:r>
      <w:r w:rsidRPr="009A5B96">
        <w:rPr>
          <w:rFonts w:ascii="Minion Pro" w:hAnsi="Minion Pro" w:cs="Times New Roman"/>
          <w:bCs/>
          <w:iCs/>
          <w:sz w:val="24"/>
          <w:szCs w:val="24"/>
          <w:vertAlign w:val="superscript"/>
        </w:rPr>
        <w:footnoteReference w:id="50"/>
      </w:r>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Sekilas</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terlihat</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bahwa</w:t>
      </w:r>
      <w:proofErr w:type="spellEnd"/>
      <w:r w:rsidRPr="009A5B96">
        <w:rPr>
          <w:rFonts w:ascii="Minion Pro" w:hAnsi="Minion Pro" w:cs="Times New Roman"/>
          <w:bCs/>
          <w:iCs/>
          <w:sz w:val="24"/>
          <w:szCs w:val="24"/>
          <w:lang w:val="en-US"/>
        </w:rPr>
        <w:t xml:space="preserve"> fatwa </w:t>
      </w:r>
      <w:proofErr w:type="spellStart"/>
      <w:r w:rsidRPr="009A5B96">
        <w:rPr>
          <w:rFonts w:ascii="Minion Pro" w:hAnsi="Minion Pro" w:cs="Times New Roman"/>
          <w:bCs/>
          <w:iCs/>
          <w:sz w:val="24"/>
          <w:szCs w:val="24"/>
          <w:lang w:val="en-US"/>
        </w:rPr>
        <w:t>ini</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menggunakan</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metode</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
          <w:iCs/>
          <w:sz w:val="24"/>
          <w:szCs w:val="24"/>
          <w:lang w:val="en-US"/>
        </w:rPr>
        <w:t>qaulī</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karena</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mengacu</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kepada</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teks</w:t>
      </w:r>
      <w:proofErr w:type="spellEnd"/>
      <w:r w:rsidRPr="009A5B96">
        <w:rPr>
          <w:rFonts w:ascii="Minion Pro" w:hAnsi="Minion Pro" w:cs="Times New Roman"/>
          <w:bCs/>
          <w:iCs/>
          <w:sz w:val="24"/>
          <w:szCs w:val="24"/>
          <w:lang w:val="en-US"/>
        </w:rPr>
        <w:t xml:space="preserve"> kitab </w:t>
      </w:r>
      <w:proofErr w:type="spellStart"/>
      <w:r w:rsidRPr="009A5B96">
        <w:rPr>
          <w:rFonts w:ascii="Minion Pro" w:hAnsi="Minion Pro" w:cs="Times New Roman"/>
          <w:bCs/>
          <w:i/>
          <w:iCs/>
          <w:sz w:val="24"/>
          <w:szCs w:val="24"/>
          <w:lang w:val="en-US"/>
        </w:rPr>
        <w:t>Bughyah</w:t>
      </w:r>
      <w:proofErr w:type="spellEnd"/>
      <w:r w:rsidRPr="009A5B96">
        <w:rPr>
          <w:rFonts w:ascii="Minion Pro" w:hAnsi="Minion Pro" w:cs="Times New Roman"/>
          <w:bCs/>
          <w:i/>
          <w:iCs/>
          <w:sz w:val="24"/>
          <w:szCs w:val="24"/>
          <w:lang w:val="en-US"/>
        </w:rPr>
        <w:t xml:space="preserve"> al-</w:t>
      </w:r>
      <w:proofErr w:type="spellStart"/>
      <w:r w:rsidRPr="009A5B96">
        <w:rPr>
          <w:rFonts w:ascii="Minion Pro" w:hAnsi="Minion Pro" w:cs="Times New Roman"/>
          <w:bCs/>
          <w:i/>
          <w:iCs/>
          <w:sz w:val="24"/>
          <w:szCs w:val="24"/>
          <w:lang w:val="en-US"/>
        </w:rPr>
        <w:t>Mustarsyidīn</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karya</w:t>
      </w:r>
      <w:proofErr w:type="spellEnd"/>
      <w:r w:rsidRPr="009A5B96">
        <w:rPr>
          <w:rFonts w:ascii="Minion Pro" w:hAnsi="Minion Pro" w:cs="Times New Roman"/>
          <w:bCs/>
          <w:iCs/>
          <w:sz w:val="24"/>
          <w:szCs w:val="24"/>
          <w:lang w:val="en-US"/>
        </w:rPr>
        <w:t xml:space="preserve"> ‘Abd al-</w:t>
      </w:r>
      <w:proofErr w:type="spellStart"/>
      <w:r w:rsidRPr="009A5B96">
        <w:rPr>
          <w:rFonts w:ascii="Minion Pro" w:hAnsi="Minion Pro" w:cs="Times New Roman"/>
          <w:bCs/>
          <w:iCs/>
          <w:sz w:val="24"/>
          <w:szCs w:val="24"/>
          <w:lang w:val="en-US"/>
        </w:rPr>
        <w:t>Rahmān</w:t>
      </w:r>
      <w:proofErr w:type="spellEnd"/>
      <w:r w:rsidRPr="009A5B96">
        <w:rPr>
          <w:rFonts w:ascii="Minion Pro" w:hAnsi="Minion Pro" w:cs="Times New Roman"/>
          <w:bCs/>
          <w:iCs/>
          <w:sz w:val="24"/>
          <w:szCs w:val="24"/>
          <w:lang w:val="en-US"/>
        </w:rPr>
        <w:t xml:space="preserve"> </w:t>
      </w:r>
      <w:proofErr w:type="spellStart"/>
      <w:proofErr w:type="gramStart"/>
      <w:r w:rsidRPr="009A5B96">
        <w:rPr>
          <w:rFonts w:ascii="Minion Pro" w:hAnsi="Minion Pro" w:cs="Times New Roman"/>
          <w:bCs/>
          <w:iCs/>
          <w:sz w:val="24"/>
          <w:szCs w:val="24"/>
          <w:lang w:val="en-US"/>
        </w:rPr>
        <w:t>Bā‘</w:t>
      </w:r>
      <w:proofErr w:type="gramEnd"/>
      <w:r w:rsidRPr="009A5B96">
        <w:rPr>
          <w:rFonts w:ascii="Minion Pro" w:hAnsi="Minion Pro" w:cs="Times New Roman"/>
          <w:bCs/>
          <w:iCs/>
          <w:sz w:val="24"/>
          <w:szCs w:val="24"/>
          <w:lang w:val="en-US"/>
        </w:rPr>
        <w:t>alawi</w:t>
      </w:r>
      <w:proofErr w:type="spellEnd"/>
      <w:r w:rsidRPr="009A5B96">
        <w:rPr>
          <w:rFonts w:ascii="Minion Pro" w:hAnsi="Minion Pro" w:cs="Times New Roman"/>
          <w:bCs/>
          <w:iCs/>
          <w:sz w:val="24"/>
          <w:szCs w:val="24"/>
          <w:lang w:val="en-US"/>
        </w:rPr>
        <w:t xml:space="preserve"> (w. 1902). </w:t>
      </w:r>
      <w:proofErr w:type="spellStart"/>
      <w:r w:rsidRPr="009A5B96">
        <w:rPr>
          <w:rFonts w:ascii="Minion Pro" w:hAnsi="Minion Pro" w:cs="Times New Roman"/>
          <w:bCs/>
          <w:iCs/>
          <w:sz w:val="24"/>
          <w:szCs w:val="24"/>
          <w:lang w:val="en-US"/>
        </w:rPr>
        <w:t>Namun</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jika</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dikaitkan</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dengan</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konteks</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saat</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itu</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maka</w:t>
      </w:r>
      <w:proofErr w:type="spellEnd"/>
      <w:r w:rsidRPr="009A5B96">
        <w:rPr>
          <w:rFonts w:ascii="Minion Pro" w:hAnsi="Minion Pro" w:cs="Times New Roman"/>
          <w:bCs/>
          <w:iCs/>
          <w:sz w:val="24"/>
          <w:szCs w:val="24"/>
          <w:lang w:val="en-US"/>
        </w:rPr>
        <w:t xml:space="preserve"> fatwa </w:t>
      </w:r>
      <w:proofErr w:type="spellStart"/>
      <w:r w:rsidRPr="009A5B96">
        <w:rPr>
          <w:rFonts w:ascii="Minion Pro" w:hAnsi="Minion Pro" w:cs="Times New Roman"/>
          <w:bCs/>
          <w:iCs/>
          <w:sz w:val="24"/>
          <w:szCs w:val="24"/>
          <w:lang w:val="en-US"/>
        </w:rPr>
        <w:t>ini</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sebetulnya</w:t>
      </w:r>
      <w:proofErr w:type="spellEnd"/>
      <w:r w:rsidRPr="009A5B96">
        <w:rPr>
          <w:rFonts w:ascii="Minion Pro" w:hAnsi="Minion Pro" w:cs="Times New Roman"/>
          <w:bCs/>
          <w:iCs/>
          <w:sz w:val="24"/>
          <w:szCs w:val="24"/>
          <w:lang w:val="en-US"/>
        </w:rPr>
        <w:t xml:space="preserve"> juga </w:t>
      </w:r>
      <w:proofErr w:type="spellStart"/>
      <w:r w:rsidRPr="009A5B96">
        <w:rPr>
          <w:rFonts w:ascii="Minion Pro" w:hAnsi="Minion Pro" w:cs="Times New Roman"/>
          <w:bCs/>
          <w:iCs/>
          <w:sz w:val="24"/>
          <w:szCs w:val="24"/>
          <w:lang w:val="en-US"/>
        </w:rPr>
        <w:t>menggunakan</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metode</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
          <w:iCs/>
          <w:sz w:val="24"/>
          <w:szCs w:val="24"/>
          <w:lang w:val="en-US"/>
        </w:rPr>
        <w:t>manhajī</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karena</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bertujuan</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untuk</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menegaskan</w:t>
      </w:r>
      <w:proofErr w:type="spellEnd"/>
      <w:r w:rsidRPr="009A5B96">
        <w:rPr>
          <w:rFonts w:ascii="Minion Pro" w:hAnsi="Minion Pro" w:cs="Times New Roman"/>
          <w:bCs/>
          <w:iCs/>
          <w:sz w:val="24"/>
          <w:szCs w:val="24"/>
        </w:rPr>
        <w:t xml:space="preserve"> simbol identitas dalam konteks perlawanan kultural terhadap kolonialisme</w:t>
      </w:r>
      <w:r w:rsidRPr="009A5B96">
        <w:rPr>
          <w:rFonts w:ascii="Minion Pro" w:hAnsi="Minion Pro" w:cs="Times New Roman"/>
          <w:bCs/>
          <w:iCs/>
          <w:sz w:val="24"/>
          <w:szCs w:val="24"/>
          <w:lang w:val="en-US"/>
        </w:rPr>
        <w:t>;</w:t>
      </w:r>
      <w:r w:rsidRPr="009A5B96">
        <w:rPr>
          <w:rFonts w:ascii="Minion Pro" w:hAnsi="Minion Pro" w:cs="Times New Roman"/>
          <w:bCs/>
          <w:iCs/>
          <w:sz w:val="24"/>
          <w:szCs w:val="24"/>
          <w:vertAlign w:val="superscript"/>
        </w:rPr>
        <w:footnoteReference w:id="51"/>
      </w:r>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diistilahkan</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dengan</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Perang</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Suci</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melawan</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penjajah</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Eropa</w:t>
      </w:r>
      <w:proofErr w:type="spellEnd"/>
      <w:r w:rsidRPr="009A5B96">
        <w:rPr>
          <w:rFonts w:ascii="Minion Pro" w:hAnsi="Minion Pro" w:cs="Times New Roman"/>
          <w:bCs/>
          <w:iCs/>
          <w:sz w:val="24"/>
          <w:szCs w:val="24"/>
          <w:lang w:val="en-US"/>
        </w:rPr>
        <w:t xml:space="preserve"> yang kafir”</w:t>
      </w:r>
      <w:r w:rsidRPr="009A5B96">
        <w:rPr>
          <w:rFonts w:ascii="Minion Pro" w:hAnsi="Minion Pro" w:cs="Times New Roman"/>
          <w:bCs/>
          <w:iCs/>
          <w:sz w:val="24"/>
          <w:szCs w:val="24"/>
        </w:rPr>
        <w:t>.</w:t>
      </w:r>
      <w:r w:rsidRPr="009A5B96">
        <w:rPr>
          <w:rFonts w:ascii="Minion Pro" w:hAnsi="Minion Pro" w:cs="Times New Roman"/>
          <w:bCs/>
          <w:iCs/>
          <w:sz w:val="24"/>
          <w:szCs w:val="24"/>
          <w:vertAlign w:val="superscript"/>
        </w:rPr>
        <w:footnoteReference w:id="52"/>
      </w:r>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Terlebih-lebih</w:t>
      </w:r>
      <w:proofErr w:type="spellEnd"/>
      <w:r w:rsidRPr="009A5B96">
        <w:rPr>
          <w:rFonts w:ascii="Minion Pro" w:hAnsi="Minion Pro" w:cs="Times New Roman"/>
          <w:bCs/>
          <w:iCs/>
          <w:sz w:val="24"/>
          <w:szCs w:val="24"/>
          <w:lang w:val="en-US"/>
        </w:rPr>
        <w:t xml:space="preserve">, fatwa </w:t>
      </w:r>
      <w:proofErr w:type="spellStart"/>
      <w:r w:rsidRPr="009A5B96">
        <w:rPr>
          <w:rFonts w:ascii="Minion Pro" w:hAnsi="Minion Pro" w:cs="Times New Roman"/>
          <w:bCs/>
          <w:iCs/>
          <w:sz w:val="24"/>
          <w:szCs w:val="24"/>
          <w:lang w:val="en-US"/>
        </w:rPr>
        <w:t>serupa</w:t>
      </w:r>
      <w:proofErr w:type="spellEnd"/>
      <w:r w:rsidRPr="009A5B96">
        <w:rPr>
          <w:rFonts w:ascii="Minion Pro" w:hAnsi="Minion Pro" w:cs="Times New Roman"/>
          <w:bCs/>
          <w:iCs/>
          <w:sz w:val="24"/>
          <w:szCs w:val="24"/>
          <w:lang w:val="en-US"/>
        </w:rPr>
        <w:t xml:space="preserve"> juga </w:t>
      </w:r>
      <w:proofErr w:type="spellStart"/>
      <w:r w:rsidRPr="009A5B96">
        <w:rPr>
          <w:rFonts w:ascii="Minion Pro" w:hAnsi="Minion Pro" w:cs="Times New Roman"/>
          <w:bCs/>
          <w:iCs/>
          <w:sz w:val="24"/>
          <w:szCs w:val="24"/>
          <w:lang w:val="en-US"/>
        </w:rPr>
        <w:t>pernah</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ditulis</w:t>
      </w:r>
      <w:proofErr w:type="spellEnd"/>
      <w:r w:rsidRPr="009A5B96">
        <w:rPr>
          <w:rFonts w:ascii="Minion Pro" w:hAnsi="Minion Pro" w:cs="Times New Roman"/>
          <w:bCs/>
          <w:iCs/>
          <w:sz w:val="24"/>
          <w:szCs w:val="24"/>
          <w:lang w:val="en-US"/>
        </w:rPr>
        <w:t xml:space="preserve"> oleh </w:t>
      </w:r>
      <w:proofErr w:type="spellStart"/>
      <w:r w:rsidRPr="009A5B96">
        <w:rPr>
          <w:rFonts w:ascii="Minion Pro" w:hAnsi="Minion Pro" w:cs="Times New Roman"/>
          <w:bCs/>
          <w:iCs/>
          <w:sz w:val="24"/>
          <w:szCs w:val="24"/>
          <w:lang w:val="en-US"/>
        </w:rPr>
        <w:t>Kiai</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Soleh</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Darat</w:t>
      </w:r>
      <w:proofErr w:type="spellEnd"/>
      <w:r w:rsidRPr="009A5B96">
        <w:rPr>
          <w:rFonts w:ascii="Minion Pro" w:hAnsi="Minion Pro" w:cs="Times New Roman"/>
          <w:bCs/>
          <w:iCs/>
          <w:sz w:val="24"/>
          <w:szCs w:val="24"/>
          <w:lang w:val="en-US"/>
        </w:rPr>
        <w:t xml:space="preserve"> (w. 1903) </w:t>
      </w:r>
      <w:proofErr w:type="spellStart"/>
      <w:r w:rsidRPr="009A5B96">
        <w:rPr>
          <w:rFonts w:ascii="Minion Pro" w:hAnsi="Minion Pro" w:cs="Times New Roman"/>
          <w:bCs/>
          <w:iCs/>
          <w:sz w:val="24"/>
          <w:szCs w:val="24"/>
          <w:lang w:val="en-US"/>
        </w:rPr>
        <w:t>dalam</w:t>
      </w:r>
      <w:proofErr w:type="spellEnd"/>
      <w:r w:rsidRPr="009A5B96">
        <w:rPr>
          <w:rFonts w:ascii="Minion Pro" w:hAnsi="Minion Pro" w:cs="Times New Roman"/>
          <w:bCs/>
          <w:iCs/>
          <w:sz w:val="24"/>
          <w:szCs w:val="24"/>
          <w:lang w:val="en-US"/>
        </w:rPr>
        <w:t xml:space="preserve"> salah </w:t>
      </w:r>
      <w:proofErr w:type="spellStart"/>
      <w:r w:rsidRPr="009A5B96">
        <w:rPr>
          <w:rFonts w:ascii="Minion Pro" w:hAnsi="Minion Pro" w:cs="Times New Roman"/>
          <w:bCs/>
          <w:iCs/>
          <w:sz w:val="24"/>
          <w:szCs w:val="24"/>
          <w:lang w:val="en-US"/>
        </w:rPr>
        <w:t>satu</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kitabnya</w:t>
      </w:r>
      <w:proofErr w:type="spellEnd"/>
      <w:r w:rsidRPr="009A5B96">
        <w:rPr>
          <w:rFonts w:ascii="Minion Pro" w:hAnsi="Minion Pro" w:cs="Times New Roman"/>
          <w:bCs/>
          <w:iCs/>
          <w:sz w:val="24"/>
          <w:szCs w:val="24"/>
          <w:lang w:val="en-US"/>
        </w:rPr>
        <w:t xml:space="preserve"> yang </w:t>
      </w:r>
      <w:proofErr w:type="spellStart"/>
      <w:r w:rsidRPr="009A5B96">
        <w:rPr>
          <w:rFonts w:ascii="Minion Pro" w:hAnsi="Minion Pro" w:cs="Times New Roman"/>
          <w:bCs/>
          <w:iCs/>
          <w:sz w:val="24"/>
          <w:szCs w:val="24"/>
          <w:lang w:val="en-US"/>
        </w:rPr>
        <w:t>berjudul</w:t>
      </w:r>
      <w:proofErr w:type="spellEnd"/>
      <w:r w:rsidRPr="009A5B96">
        <w:rPr>
          <w:rFonts w:ascii="Minion Pro" w:hAnsi="Minion Pro" w:cs="Times New Roman"/>
          <w:bCs/>
          <w:iCs/>
          <w:sz w:val="24"/>
          <w:szCs w:val="24"/>
          <w:lang w:val="en-US"/>
        </w:rPr>
        <w:t xml:space="preserve"> </w:t>
      </w:r>
      <w:proofErr w:type="spellStart"/>
      <w:proofErr w:type="gramStart"/>
      <w:r w:rsidRPr="009A5B96">
        <w:rPr>
          <w:rFonts w:ascii="Minion Pro" w:hAnsi="Minion Pro" w:cs="Times New Roman"/>
          <w:bCs/>
          <w:i/>
          <w:iCs/>
          <w:sz w:val="24"/>
          <w:szCs w:val="24"/>
          <w:lang w:val="en-US"/>
        </w:rPr>
        <w:t>Majmū‘</w:t>
      </w:r>
      <w:proofErr w:type="gramEnd"/>
      <w:r w:rsidRPr="009A5B96">
        <w:rPr>
          <w:rFonts w:ascii="Minion Pro" w:hAnsi="Minion Pro" w:cs="Times New Roman"/>
          <w:bCs/>
          <w:i/>
          <w:iCs/>
          <w:sz w:val="24"/>
          <w:szCs w:val="24"/>
          <w:lang w:val="en-US"/>
        </w:rPr>
        <w:t>ah</w:t>
      </w:r>
      <w:proofErr w:type="spellEnd"/>
      <w:r w:rsidRPr="009A5B96">
        <w:rPr>
          <w:rFonts w:ascii="Minion Pro" w:hAnsi="Minion Pro" w:cs="Times New Roman"/>
          <w:bCs/>
          <w:i/>
          <w:iCs/>
          <w:sz w:val="24"/>
          <w:szCs w:val="24"/>
          <w:lang w:val="en-US"/>
        </w:rPr>
        <w:t xml:space="preserve"> al-</w:t>
      </w:r>
      <w:proofErr w:type="spellStart"/>
      <w:r w:rsidRPr="009A5B96">
        <w:rPr>
          <w:rFonts w:ascii="Minion Pro" w:hAnsi="Minion Pro" w:cs="Times New Roman"/>
          <w:bCs/>
          <w:i/>
          <w:iCs/>
          <w:sz w:val="24"/>
          <w:szCs w:val="24"/>
          <w:lang w:val="en-US"/>
        </w:rPr>
        <w:t>Syarī‘ah</w:t>
      </w:r>
      <w:proofErr w:type="spellEnd"/>
      <w:r w:rsidRPr="009A5B96">
        <w:rPr>
          <w:rFonts w:ascii="Minion Pro" w:hAnsi="Minion Pro" w:cs="Times New Roman"/>
          <w:bCs/>
          <w:i/>
          <w:iCs/>
          <w:sz w:val="24"/>
          <w:szCs w:val="24"/>
          <w:lang w:val="en-US"/>
        </w:rPr>
        <w:t xml:space="preserve"> al-</w:t>
      </w:r>
      <w:proofErr w:type="spellStart"/>
      <w:r w:rsidRPr="009A5B96">
        <w:rPr>
          <w:rFonts w:ascii="Minion Pro" w:hAnsi="Minion Pro" w:cs="Times New Roman"/>
          <w:bCs/>
          <w:i/>
          <w:iCs/>
          <w:sz w:val="24"/>
          <w:szCs w:val="24"/>
          <w:lang w:val="en-US"/>
        </w:rPr>
        <w:t>Kāfiyah</w:t>
      </w:r>
      <w:proofErr w:type="spellEnd"/>
      <w:r w:rsidRPr="009A5B96">
        <w:rPr>
          <w:rFonts w:ascii="Minion Pro" w:hAnsi="Minion Pro" w:cs="Times New Roman"/>
          <w:bCs/>
          <w:i/>
          <w:iCs/>
          <w:sz w:val="24"/>
          <w:szCs w:val="24"/>
          <w:lang w:val="en-US"/>
        </w:rPr>
        <w:t xml:space="preserve"> li al-‘</w:t>
      </w:r>
      <w:proofErr w:type="spellStart"/>
      <w:r w:rsidRPr="009A5B96">
        <w:rPr>
          <w:rFonts w:ascii="Minion Pro" w:hAnsi="Minion Pro" w:cs="Times New Roman"/>
          <w:bCs/>
          <w:i/>
          <w:iCs/>
          <w:sz w:val="24"/>
          <w:szCs w:val="24"/>
          <w:lang w:val="en-US"/>
        </w:rPr>
        <w:t>Awāmm</w:t>
      </w:r>
      <w:proofErr w:type="spellEnd"/>
      <w:r w:rsidRPr="009A5B96">
        <w:rPr>
          <w:rFonts w:ascii="Minion Pro" w:hAnsi="Minion Pro" w:cs="Times New Roman"/>
          <w:bCs/>
          <w:iCs/>
          <w:sz w:val="24"/>
          <w:szCs w:val="24"/>
          <w:lang w:val="en-US"/>
        </w:rPr>
        <w:t xml:space="preserve"> (1899).</w:t>
      </w:r>
      <w:r w:rsidRPr="009A5B96">
        <w:rPr>
          <w:rFonts w:ascii="Minion Pro" w:hAnsi="Minion Pro" w:cs="Times New Roman"/>
          <w:bCs/>
          <w:iCs/>
          <w:sz w:val="24"/>
          <w:szCs w:val="24"/>
          <w:vertAlign w:val="superscript"/>
          <w:lang w:val="en-US"/>
        </w:rPr>
        <w:footnoteReference w:id="53"/>
      </w:r>
    </w:p>
    <w:p w14:paraId="2665DCA4" w14:textId="77777777" w:rsidR="009A5B96" w:rsidRPr="009A5B96" w:rsidRDefault="009A5B96" w:rsidP="009A5B96">
      <w:pPr>
        <w:spacing w:line="240" w:lineRule="auto"/>
        <w:jc w:val="both"/>
        <w:rPr>
          <w:rFonts w:ascii="Minion Pro" w:hAnsi="Minion Pro" w:cs="Times New Roman"/>
          <w:bCs/>
          <w:iCs/>
          <w:sz w:val="24"/>
          <w:szCs w:val="24"/>
          <w:lang w:val="en-US"/>
        </w:rPr>
      </w:pPr>
      <w:proofErr w:type="spellStart"/>
      <w:r w:rsidRPr="009A5B96">
        <w:rPr>
          <w:rFonts w:ascii="Minion Pro" w:hAnsi="Minion Pro" w:cs="Times New Roman"/>
          <w:bCs/>
          <w:iCs/>
          <w:sz w:val="24"/>
          <w:szCs w:val="24"/>
          <w:lang w:val="en-US"/>
        </w:rPr>
        <w:lastRenderedPageBreak/>
        <w:t>Kedua</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penggunaan</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istilah</w:t>
      </w:r>
      <w:proofErr w:type="spellEnd"/>
      <w:r w:rsidRPr="009A5B96">
        <w:rPr>
          <w:rFonts w:ascii="Minion Pro" w:hAnsi="Minion Pro" w:cs="Times New Roman"/>
          <w:bCs/>
          <w:iCs/>
          <w:sz w:val="24"/>
          <w:szCs w:val="24"/>
          <w:lang w:val="en-US"/>
        </w:rPr>
        <w:t xml:space="preserve"> “kafir” </w:t>
      </w:r>
      <w:proofErr w:type="spellStart"/>
      <w:r w:rsidRPr="009A5B96">
        <w:rPr>
          <w:rFonts w:ascii="Minion Pro" w:hAnsi="Minion Pro" w:cs="Times New Roman"/>
          <w:bCs/>
          <w:iCs/>
          <w:sz w:val="24"/>
          <w:szCs w:val="24"/>
          <w:lang w:val="en-US"/>
        </w:rPr>
        <w:t>tersebut</w:t>
      </w:r>
      <w:proofErr w:type="spellEnd"/>
      <w:r w:rsidRPr="009A5B96">
        <w:rPr>
          <w:rFonts w:ascii="Minion Pro" w:hAnsi="Minion Pro" w:cs="Times New Roman"/>
          <w:bCs/>
          <w:iCs/>
          <w:sz w:val="24"/>
          <w:szCs w:val="24"/>
          <w:lang w:val="en-US"/>
        </w:rPr>
        <w:t xml:space="preserve"> juga </w:t>
      </w:r>
      <w:proofErr w:type="spellStart"/>
      <w:r w:rsidRPr="009A5B96">
        <w:rPr>
          <w:rFonts w:ascii="Minion Pro" w:hAnsi="Minion Pro" w:cs="Times New Roman"/>
          <w:bCs/>
          <w:iCs/>
          <w:sz w:val="24"/>
          <w:szCs w:val="24"/>
          <w:lang w:val="en-US"/>
        </w:rPr>
        <w:t>tidak</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lepas</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dari</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sejarah</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panjang</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ketegangan</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antara</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umat</w:t>
      </w:r>
      <w:proofErr w:type="spellEnd"/>
      <w:r w:rsidRPr="009A5B96">
        <w:rPr>
          <w:rFonts w:ascii="Minion Pro" w:hAnsi="Minion Pro" w:cs="Times New Roman"/>
          <w:bCs/>
          <w:iCs/>
          <w:sz w:val="24"/>
          <w:szCs w:val="24"/>
          <w:lang w:val="en-US"/>
        </w:rPr>
        <w:t xml:space="preserve"> Islam dan </w:t>
      </w:r>
      <w:proofErr w:type="spellStart"/>
      <w:r w:rsidRPr="009A5B96">
        <w:rPr>
          <w:rFonts w:ascii="Minion Pro" w:hAnsi="Minion Pro" w:cs="Times New Roman"/>
          <w:bCs/>
          <w:iCs/>
          <w:sz w:val="24"/>
          <w:szCs w:val="24"/>
          <w:lang w:val="en-US"/>
        </w:rPr>
        <w:t>umat</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Kristiani</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sejak</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abad</w:t>
      </w:r>
      <w:proofErr w:type="spellEnd"/>
      <w:r w:rsidRPr="009A5B96">
        <w:rPr>
          <w:rFonts w:ascii="Minion Pro" w:hAnsi="Minion Pro" w:cs="Times New Roman"/>
          <w:bCs/>
          <w:iCs/>
          <w:sz w:val="24"/>
          <w:szCs w:val="24"/>
          <w:lang w:val="en-US"/>
        </w:rPr>
        <w:t xml:space="preserve"> XIX, di </w:t>
      </w:r>
      <w:proofErr w:type="spellStart"/>
      <w:r w:rsidRPr="009A5B96">
        <w:rPr>
          <w:rFonts w:ascii="Minion Pro" w:hAnsi="Minion Pro" w:cs="Times New Roman"/>
          <w:bCs/>
          <w:iCs/>
          <w:sz w:val="24"/>
          <w:szCs w:val="24"/>
          <w:lang w:val="en-US"/>
        </w:rPr>
        <w:t>satu</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sisi</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sebagai</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dampak</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tidak</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langsung</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dari</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kolonialisme</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bangsa</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Eropa</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sejak</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abad</w:t>
      </w:r>
      <w:proofErr w:type="spellEnd"/>
      <w:r w:rsidRPr="009A5B96">
        <w:rPr>
          <w:rFonts w:ascii="Minion Pro" w:hAnsi="Minion Pro" w:cs="Times New Roman"/>
          <w:bCs/>
          <w:iCs/>
          <w:sz w:val="24"/>
          <w:szCs w:val="24"/>
          <w:lang w:val="en-US"/>
        </w:rPr>
        <w:t xml:space="preserve"> XVI, di </w:t>
      </w:r>
      <w:proofErr w:type="spellStart"/>
      <w:r w:rsidRPr="009A5B96">
        <w:rPr>
          <w:rFonts w:ascii="Minion Pro" w:hAnsi="Minion Pro" w:cs="Times New Roman"/>
          <w:bCs/>
          <w:iCs/>
          <w:sz w:val="24"/>
          <w:szCs w:val="24"/>
          <w:lang w:val="en-US"/>
        </w:rPr>
        <w:t>sisi</w:t>
      </w:r>
      <w:proofErr w:type="spellEnd"/>
      <w:r w:rsidRPr="009A5B96">
        <w:rPr>
          <w:rFonts w:ascii="Minion Pro" w:hAnsi="Minion Pro" w:cs="Times New Roman"/>
          <w:bCs/>
          <w:iCs/>
          <w:sz w:val="24"/>
          <w:szCs w:val="24"/>
          <w:lang w:val="en-US"/>
        </w:rPr>
        <w:t xml:space="preserve"> yang lain. </w:t>
      </w:r>
      <w:r w:rsidRPr="009A5B96">
        <w:rPr>
          <w:rFonts w:ascii="Minion Pro" w:hAnsi="Minion Pro" w:cs="Times New Roman"/>
          <w:bCs/>
          <w:iCs/>
          <w:sz w:val="24"/>
          <w:szCs w:val="24"/>
        </w:rPr>
        <w:t>Sejak pesatnya pertumbuhan jumlah umat Kristen selama masa politik tanam paksa (1830-1870), relasi antara umat Islam dan umat Kristen dari kalangan pribumi cenderung sarat dengan ketegangan. Mulai dari reaksi negatif sejumlah kalangan umat Islam terhadap Kristenisasi,</w:t>
      </w:r>
      <w:r w:rsidRPr="009A5B96">
        <w:rPr>
          <w:rFonts w:ascii="Minion Pro" w:hAnsi="Minion Pro" w:cs="Times New Roman"/>
          <w:bCs/>
          <w:iCs/>
          <w:sz w:val="24"/>
          <w:szCs w:val="24"/>
          <w:vertAlign w:val="superscript"/>
        </w:rPr>
        <w:footnoteReference w:id="54"/>
      </w:r>
      <w:r w:rsidRPr="009A5B96">
        <w:rPr>
          <w:rFonts w:ascii="Minion Pro" w:hAnsi="Minion Pro" w:cs="Times New Roman"/>
          <w:bCs/>
          <w:iCs/>
          <w:sz w:val="24"/>
          <w:szCs w:val="24"/>
        </w:rPr>
        <w:t xml:space="preserve"> gerakan anti-Islam oleh sejumlah </w:t>
      </w:r>
      <w:r w:rsidRPr="009A5B96">
        <w:rPr>
          <w:rFonts w:ascii="Minion Pro" w:hAnsi="Minion Pro" w:cs="Times New Roman"/>
          <w:bCs/>
          <w:i/>
          <w:iCs/>
          <w:sz w:val="24"/>
          <w:szCs w:val="24"/>
        </w:rPr>
        <w:t>priyai</w:t>
      </w:r>
      <w:r w:rsidRPr="009A5B96">
        <w:rPr>
          <w:rFonts w:ascii="Minion Pro" w:hAnsi="Minion Pro" w:cs="Times New Roman"/>
          <w:bCs/>
          <w:iCs/>
          <w:sz w:val="24"/>
          <w:szCs w:val="24"/>
        </w:rPr>
        <w:t xml:space="preserve"> Jawa yang menganut agama Kristen sejak awal dekade 1870-an,</w:t>
      </w:r>
      <w:r w:rsidRPr="009A5B96">
        <w:rPr>
          <w:rFonts w:ascii="Minion Pro" w:hAnsi="Minion Pro" w:cs="Times New Roman"/>
          <w:bCs/>
          <w:iCs/>
          <w:sz w:val="24"/>
          <w:szCs w:val="24"/>
          <w:vertAlign w:val="superscript"/>
        </w:rPr>
        <w:footnoteReference w:id="55"/>
      </w:r>
      <w:r w:rsidRPr="009A5B96">
        <w:rPr>
          <w:rFonts w:ascii="Minion Pro" w:hAnsi="Minion Pro" w:cs="Times New Roman"/>
          <w:bCs/>
          <w:iCs/>
          <w:sz w:val="24"/>
          <w:szCs w:val="24"/>
        </w:rPr>
        <w:t xml:space="preserve"> hingga aksi pembakaran sejumlah gereja di Jawa Tengah pada dekade 1880-an,</w:t>
      </w:r>
      <w:r w:rsidRPr="009A5B96">
        <w:rPr>
          <w:rFonts w:ascii="Minion Pro" w:hAnsi="Minion Pro" w:cs="Times New Roman"/>
          <w:bCs/>
          <w:iCs/>
          <w:sz w:val="24"/>
          <w:szCs w:val="24"/>
          <w:vertAlign w:val="superscript"/>
        </w:rPr>
        <w:footnoteReference w:id="56"/>
      </w:r>
      <w:r w:rsidRPr="009A5B96">
        <w:rPr>
          <w:rFonts w:ascii="Minion Pro" w:hAnsi="Minion Pro" w:cs="Times New Roman"/>
          <w:bCs/>
          <w:iCs/>
          <w:sz w:val="24"/>
          <w:szCs w:val="24"/>
        </w:rPr>
        <w:t xml:space="preserve"> semua itu menandai kuatnya relasi penuh konflik antara umat Islam dan umat Kristen di Indonesia yang tetap bertahan hingga jauh setelah masa kemerdekaan. Dalam konteks sentimen agama itulah label “kafir” mewarnai sejumlah keputusan bahstul masail tentang relasi dengan non-Muslim </w:t>
      </w:r>
      <w:proofErr w:type="spellStart"/>
      <w:r w:rsidRPr="009A5B96">
        <w:rPr>
          <w:rFonts w:ascii="Minion Pro" w:hAnsi="Minion Pro" w:cs="Times New Roman"/>
          <w:bCs/>
          <w:iCs/>
          <w:sz w:val="24"/>
          <w:szCs w:val="24"/>
          <w:lang w:val="en-US"/>
        </w:rPr>
        <w:t>sejak</w:t>
      </w:r>
      <w:proofErr w:type="spellEnd"/>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edisi</w:t>
      </w:r>
      <w:proofErr w:type="spellEnd"/>
      <w:r w:rsidRPr="009A5B96">
        <w:rPr>
          <w:rFonts w:ascii="Minion Pro" w:hAnsi="Minion Pro" w:cs="Times New Roman"/>
          <w:bCs/>
          <w:iCs/>
          <w:sz w:val="24"/>
          <w:szCs w:val="24"/>
        </w:rPr>
        <w:t xml:space="preserve"> tahun 1927. </w:t>
      </w:r>
    </w:p>
    <w:p w14:paraId="2AB01FC3" w14:textId="2CCE342E" w:rsidR="009A5B96" w:rsidRDefault="009A5B96" w:rsidP="009A5B96">
      <w:pPr>
        <w:spacing w:line="240" w:lineRule="auto"/>
        <w:jc w:val="both"/>
        <w:rPr>
          <w:rFonts w:ascii="Minion Pro" w:hAnsi="Minion Pro" w:cs="Times New Roman"/>
          <w:bCs/>
          <w:iCs/>
          <w:sz w:val="24"/>
          <w:szCs w:val="24"/>
        </w:rPr>
      </w:pPr>
      <w:r w:rsidRPr="009A5B96">
        <w:rPr>
          <w:rFonts w:ascii="Minion Pro" w:hAnsi="Minion Pro" w:cs="Times New Roman"/>
          <w:bCs/>
          <w:iCs/>
          <w:sz w:val="24"/>
          <w:szCs w:val="24"/>
        </w:rPr>
        <w:t>Perubahan tren penggunaan</w:t>
      </w:r>
      <w:r w:rsidRPr="009A5B96">
        <w:rPr>
          <w:rFonts w:ascii="Minion Pro" w:hAnsi="Minion Pro" w:cs="Times New Roman"/>
          <w:bCs/>
          <w:iCs/>
          <w:sz w:val="24"/>
          <w:szCs w:val="24"/>
          <w:lang w:val="en-US"/>
        </w:rPr>
        <w:t xml:space="preserve"> </w:t>
      </w:r>
      <w:proofErr w:type="spellStart"/>
      <w:r w:rsidRPr="009A5B96">
        <w:rPr>
          <w:rFonts w:ascii="Minion Pro" w:hAnsi="Minion Pro" w:cs="Times New Roman"/>
          <w:bCs/>
          <w:iCs/>
          <w:sz w:val="24"/>
          <w:szCs w:val="24"/>
          <w:lang w:val="en-US"/>
        </w:rPr>
        <w:t>istilah</w:t>
      </w:r>
      <w:proofErr w:type="spellEnd"/>
      <w:r w:rsidRPr="009A5B96">
        <w:rPr>
          <w:rFonts w:ascii="Minion Pro" w:hAnsi="Minion Pro" w:cs="Times New Roman"/>
          <w:bCs/>
          <w:iCs/>
          <w:sz w:val="24"/>
          <w:szCs w:val="24"/>
        </w:rPr>
        <w:t xml:space="preserve"> </w:t>
      </w:r>
      <w:r w:rsidRPr="009A5B96">
        <w:rPr>
          <w:rFonts w:ascii="Minion Pro" w:hAnsi="Minion Pro" w:cs="Times New Roman"/>
          <w:bCs/>
          <w:iCs/>
          <w:sz w:val="24"/>
          <w:szCs w:val="24"/>
          <w:lang w:val="en-US"/>
        </w:rPr>
        <w:t xml:space="preserve">di </w:t>
      </w:r>
      <w:proofErr w:type="spellStart"/>
      <w:r w:rsidRPr="009A5B96">
        <w:rPr>
          <w:rFonts w:ascii="Minion Pro" w:hAnsi="Minion Pro" w:cs="Times New Roman"/>
          <w:bCs/>
          <w:iCs/>
          <w:sz w:val="24"/>
          <w:szCs w:val="24"/>
          <w:lang w:val="en-US"/>
        </w:rPr>
        <w:t>atas</w:t>
      </w:r>
      <w:proofErr w:type="spellEnd"/>
      <w:r w:rsidRPr="009A5B96">
        <w:rPr>
          <w:rFonts w:ascii="Minion Pro" w:hAnsi="Minion Pro" w:cs="Times New Roman"/>
          <w:bCs/>
          <w:iCs/>
          <w:sz w:val="24"/>
          <w:szCs w:val="24"/>
        </w:rPr>
        <w:t xml:space="preserve"> mengindikasikan adanya perubahan positif sikap kiai-kiai NU terhadap keberadaan non-Muslim di Indonesia. Hal ini tidak terlepas dari mulai bergaungnya wacana toleransi dan gerakan dialog antarumat beragama di kalangan muda NU sejak akhir dekade 1970-an.</w:t>
      </w:r>
      <w:r w:rsidRPr="009A5B96">
        <w:rPr>
          <w:rFonts w:ascii="Minion Pro" w:hAnsi="Minion Pro" w:cs="Times New Roman"/>
          <w:bCs/>
          <w:iCs/>
          <w:sz w:val="24"/>
          <w:szCs w:val="24"/>
          <w:vertAlign w:val="superscript"/>
        </w:rPr>
        <w:footnoteReference w:id="57"/>
      </w:r>
      <w:r w:rsidRPr="009A5B96">
        <w:rPr>
          <w:rFonts w:ascii="Minion Pro" w:hAnsi="Minion Pro" w:cs="Times New Roman"/>
          <w:bCs/>
          <w:iCs/>
          <w:sz w:val="24"/>
          <w:szCs w:val="24"/>
        </w:rPr>
        <w:t xml:space="preserve"> Wacana toleransi ini kemudian dikembangkan oleh Kiai Achmad Siddiq setelah menjabat sebagai Rois Aam PBNU sejak 1984, yakni melalui konsep trilogi persaudaraan (</w:t>
      </w:r>
      <w:r w:rsidRPr="009A5B96">
        <w:rPr>
          <w:rFonts w:ascii="Minion Pro" w:hAnsi="Minion Pro" w:cs="Times New Roman"/>
          <w:bCs/>
          <w:i/>
          <w:iCs/>
          <w:sz w:val="24"/>
          <w:szCs w:val="24"/>
        </w:rPr>
        <w:t>ukhuwwah</w:t>
      </w:r>
      <w:r w:rsidRPr="009A5B96">
        <w:rPr>
          <w:rFonts w:ascii="Minion Pro" w:hAnsi="Minion Pro" w:cs="Times New Roman"/>
          <w:bCs/>
          <w:iCs/>
          <w:sz w:val="24"/>
          <w:szCs w:val="24"/>
        </w:rPr>
        <w:t>), yakni persaudaraan seiman</w:t>
      </w:r>
      <w:r w:rsidRPr="009A5B96">
        <w:rPr>
          <w:rFonts w:ascii="Minion Pro" w:hAnsi="Minion Pro" w:cs="Times New Roman"/>
          <w:bCs/>
          <w:i/>
          <w:iCs/>
          <w:sz w:val="24"/>
          <w:szCs w:val="24"/>
        </w:rPr>
        <w:t xml:space="preserve"> </w:t>
      </w:r>
      <w:r w:rsidRPr="009A5B96">
        <w:rPr>
          <w:rFonts w:ascii="Minion Pro" w:hAnsi="Minion Pro" w:cs="Times New Roman"/>
          <w:bCs/>
          <w:iCs/>
          <w:sz w:val="24"/>
          <w:szCs w:val="24"/>
        </w:rPr>
        <w:t>(</w:t>
      </w:r>
      <w:r w:rsidRPr="009A5B96">
        <w:rPr>
          <w:rFonts w:ascii="Minion Pro" w:hAnsi="Minion Pro" w:cs="Times New Roman"/>
          <w:bCs/>
          <w:i/>
          <w:iCs/>
          <w:sz w:val="24"/>
          <w:szCs w:val="24"/>
        </w:rPr>
        <w:t>ukhuwwah Islāmiyyah</w:t>
      </w:r>
      <w:r w:rsidRPr="009A5B96">
        <w:rPr>
          <w:rFonts w:ascii="Minion Pro" w:hAnsi="Minion Pro" w:cs="Times New Roman"/>
          <w:bCs/>
          <w:iCs/>
          <w:sz w:val="24"/>
          <w:szCs w:val="24"/>
        </w:rPr>
        <w:t>), persaudaraan sesama warga negara (</w:t>
      </w:r>
      <w:r w:rsidRPr="009A5B96">
        <w:rPr>
          <w:rFonts w:ascii="Minion Pro" w:hAnsi="Minion Pro" w:cs="Times New Roman"/>
          <w:bCs/>
          <w:i/>
          <w:iCs/>
          <w:sz w:val="24"/>
          <w:szCs w:val="24"/>
        </w:rPr>
        <w:t>ukhuwwah wa</w:t>
      </w:r>
      <w:r w:rsidRPr="009A5B96">
        <w:rPr>
          <w:rFonts w:ascii="Cambria" w:hAnsi="Cambria" w:cs="Cambria"/>
          <w:bCs/>
          <w:i/>
          <w:iCs/>
          <w:sz w:val="24"/>
          <w:szCs w:val="24"/>
        </w:rPr>
        <w:t>ṭ</w:t>
      </w:r>
      <w:r w:rsidRPr="009A5B96">
        <w:rPr>
          <w:rFonts w:ascii="Minion Pro" w:hAnsi="Minion Pro" w:cs="Times New Roman"/>
          <w:bCs/>
          <w:i/>
          <w:iCs/>
          <w:sz w:val="24"/>
          <w:szCs w:val="24"/>
        </w:rPr>
        <w:t>aniyyah</w:t>
      </w:r>
      <w:r w:rsidRPr="009A5B96">
        <w:rPr>
          <w:rFonts w:ascii="Minion Pro" w:hAnsi="Minion Pro" w:cs="Times New Roman"/>
          <w:bCs/>
          <w:iCs/>
          <w:sz w:val="24"/>
          <w:szCs w:val="24"/>
        </w:rPr>
        <w:t>), dan persaudaraan sesama manusia (</w:t>
      </w:r>
      <w:r w:rsidRPr="009A5B96">
        <w:rPr>
          <w:rFonts w:ascii="Minion Pro" w:hAnsi="Minion Pro" w:cs="Times New Roman"/>
          <w:bCs/>
          <w:i/>
          <w:iCs/>
          <w:sz w:val="24"/>
          <w:szCs w:val="24"/>
        </w:rPr>
        <w:t>ukhuwwah basyariyyah</w:t>
      </w:r>
      <w:r w:rsidRPr="009A5B96">
        <w:rPr>
          <w:rFonts w:ascii="Minion Pro" w:hAnsi="Minion Pro" w:cs="Times New Roman"/>
          <w:bCs/>
          <w:iCs/>
          <w:sz w:val="24"/>
          <w:szCs w:val="24"/>
        </w:rPr>
        <w:t>). Konsep ini dia presentasikan pada saat menyampaikan pidato Rois Aam pada Munas Alim Ulama tahun 1987.</w:t>
      </w:r>
      <w:r w:rsidRPr="009A5B96">
        <w:rPr>
          <w:rFonts w:ascii="Minion Pro" w:hAnsi="Minion Pro" w:cs="Times New Roman"/>
          <w:bCs/>
          <w:iCs/>
          <w:sz w:val="24"/>
          <w:szCs w:val="24"/>
          <w:vertAlign w:val="superscript"/>
        </w:rPr>
        <w:footnoteReference w:id="58"/>
      </w:r>
      <w:r w:rsidRPr="009A5B96">
        <w:rPr>
          <w:rFonts w:ascii="Minion Pro" w:hAnsi="Minion Pro" w:cs="Times New Roman"/>
          <w:bCs/>
          <w:iCs/>
          <w:sz w:val="24"/>
          <w:szCs w:val="24"/>
        </w:rPr>
        <w:t xml:space="preserve"> Konsep </w:t>
      </w:r>
      <w:r w:rsidRPr="009A5B96">
        <w:rPr>
          <w:rFonts w:ascii="Minion Pro" w:hAnsi="Minion Pro" w:cs="Times New Roman"/>
          <w:bCs/>
          <w:i/>
          <w:iCs/>
          <w:sz w:val="24"/>
          <w:szCs w:val="24"/>
        </w:rPr>
        <w:t>ukhuwwah</w:t>
      </w:r>
      <w:r w:rsidRPr="009A5B96">
        <w:rPr>
          <w:rFonts w:ascii="Minion Pro" w:hAnsi="Minion Pro" w:cs="Times New Roman"/>
          <w:bCs/>
          <w:iCs/>
          <w:sz w:val="24"/>
          <w:szCs w:val="24"/>
        </w:rPr>
        <w:t xml:space="preserve"> ini kemudian menjadi salah satu acuan penting bagi konsep wawasan kebangsaan NU yang dirumuskan pada Bahtsul Masail Muktamar NU XXIX tahun 1994</w:t>
      </w:r>
      <w:r w:rsidRPr="009A5B96">
        <w:rPr>
          <w:rFonts w:ascii="Minion Pro" w:hAnsi="Minion Pro" w:cs="Times New Roman"/>
          <w:bCs/>
          <w:iCs/>
          <w:sz w:val="24"/>
          <w:szCs w:val="24"/>
          <w:vertAlign w:val="superscript"/>
        </w:rPr>
        <w:footnoteReference w:id="59"/>
      </w:r>
      <w:r w:rsidRPr="009A5B96">
        <w:rPr>
          <w:rFonts w:ascii="Minion Pro" w:hAnsi="Minion Pro" w:cs="Times New Roman"/>
          <w:bCs/>
          <w:iCs/>
          <w:sz w:val="24"/>
          <w:szCs w:val="24"/>
        </w:rPr>
        <w:t xml:space="preserve"> dan </w:t>
      </w:r>
      <w:r w:rsidRPr="009A5B96">
        <w:rPr>
          <w:rFonts w:ascii="Minion Pro" w:hAnsi="Minion Pro" w:cs="Times New Roman"/>
          <w:bCs/>
          <w:iCs/>
          <w:sz w:val="24"/>
          <w:szCs w:val="24"/>
        </w:rPr>
        <w:lastRenderedPageBreak/>
        <w:t>Muktamar XXX tahun 1999.</w:t>
      </w:r>
      <w:r w:rsidRPr="009A5B96">
        <w:rPr>
          <w:rFonts w:ascii="Minion Pro" w:hAnsi="Minion Pro" w:cs="Times New Roman"/>
          <w:bCs/>
          <w:iCs/>
          <w:sz w:val="24"/>
          <w:szCs w:val="24"/>
          <w:vertAlign w:val="superscript"/>
        </w:rPr>
        <w:footnoteReference w:id="60"/>
      </w:r>
      <w:r w:rsidRPr="009A5B96">
        <w:rPr>
          <w:rFonts w:ascii="Minion Pro" w:hAnsi="Minion Pro" w:cs="Times New Roman"/>
          <w:bCs/>
          <w:iCs/>
          <w:sz w:val="24"/>
          <w:szCs w:val="24"/>
        </w:rPr>
        <w:t xml:space="preserve"> Konsep tersebut kemudian dimatangkan kembali pada Bahtsul Masail Munas Alim Ulama tahun 2006 menjadi konsep “Cara Berpikir NU” (</w:t>
      </w:r>
      <w:r w:rsidRPr="009A5B96">
        <w:rPr>
          <w:rFonts w:ascii="Minion Pro" w:hAnsi="Minion Pro" w:cs="Times New Roman"/>
          <w:bCs/>
          <w:i/>
          <w:iCs/>
          <w:sz w:val="24"/>
          <w:szCs w:val="24"/>
        </w:rPr>
        <w:t>Fikrah Nahdliyyah</w:t>
      </w:r>
      <w:r w:rsidRPr="009A5B96">
        <w:rPr>
          <w:rFonts w:ascii="Minion Pro" w:hAnsi="Minion Pro" w:cs="Times New Roman"/>
          <w:bCs/>
          <w:iCs/>
          <w:sz w:val="24"/>
          <w:szCs w:val="24"/>
        </w:rPr>
        <w:t>).</w:t>
      </w:r>
      <w:r w:rsidRPr="009A5B96">
        <w:rPr>
          <w:rFonts w:ascii="Minion Pro" w:hAnsi="Minion Pro" w:cs="Times New Roman"/>
          <w:bCs/>
          <w:iCs/>
          <w:sz w:val="24"/>
          <w:szCs w:val="24"/>
          <w:vertAlign w:val="superscript"/>
        </w:rPr>
        <w:footnoteReference w:id="61"/>
      </w:r>
    </w:p>
    <w:p w14:paraId="01B556D9" w14:textId="77777777" w:rsidR="004B702A" w:rsidRPr="001125F0" w:rsidRDefault="004B702A" w:rsidP="004B702A">
      <w:pPr>
        <w:spacing w:line="240" w:lineRule="auto"/>
        <w:jc w:val="both"/>
        <w:rPr>
          <w:rFonts w:ascii="Minion Pro" w:hAnsi="Minion Pro" w:cs="Times New Roman"/>
          <w:iCs/>
          <w:sz w:val="24"/>
          <w:szCs w:val="24"/>
        </w:rPr>
      </w:pPr>
    </w:p>
    <w:p w14:paraId="06969F16" w14:textId="0848E875" w:rsidR="00FB0758" w:rsidRPr="0086579C" w:rsidRDefault="00FB0758" w:rsidP="00DA5A4D">
      <w:pPr>
        <w:pStyle w:val="ListParagraph"/>
        <w:numPr>
          <w:ilvl w:val="0"/>
          <w:numId w:val="1"/>
        </w:numPr>
        <w:spacing w:before="240" w:line="240" w:lineRule="auto"/>
        <w:ind w:left="426" w:hanging="426"/>
        <w:jc w:val="both"/>
        <w:rPr>
          <w:rFonts w:ascii="Minion Pro" w:hAnsi="Minion Pro" w:cs="Times New Roman"/>
          <w:b/>
          <w:bCs/>
          <w:iCs/>
          <w:sz w:val="24"/>
          <w:szCs w:val="24"/>
        </w:rPr>
      </w:pPr>
      <w:r w:rsidRPr="0086579C">
        <w:rPr>
          <w:rFonts w:ascii="Minion Pro" w:hAnsi="Minion Pro" w:cs="Times New Roman"/>
          <w:b/>
          <w:bCs/>
          <w:iCs/>
          <w:sz w:val="24"/>
          <w:szCs w:val="24"/>
        </w:rPr>
        <w:t>KESIMPULAN</w:t>
      </w:r>
    </w:p>
    <w:p w14:paraId="5B61B5E1" w14:textId="77777777" w:rsidR="008318B4" w:rsidRPr="0086579C" w:rsidRDefault="008318B4" w:rsidP="00DB74CB">
      <w:pPr>
        <w:pStyle w:val="ListParagraph"/>
        <w:spacing w:after="0" w:line="240" w:lineRule="auto"/>
        <w:ind w:left="426"/>
        <w:jc w:val="both"/>
        <w:rPr>
          <w:rFonts w:ascii="Minion Pro" w:hAnsi="Minion Pro" w:cs="Times New Roman"/>
          <w:b/>
          <w:bCs/>
          <w:iCs/>
          <w:sz w:val="24"/>
          <w:szCs w:val="24"/>
        </w:rPr>
      </w:pPr>
    </w:p>
    <w:p w14:paraId="238B9E47" w14:textId="77777777" w:rsidR="009A5B96" w:rsidRDefault="009A5B96" w:rsidP="009A5B96">
      <w:pPr>
        <w:spacing w:line="240" w:lineRule="auto"/>
        <w:jc w:val="both"/>
        <w:rPr>
          <w:rFonts w:ascii="Minion Pro" w:hAnsi="Minion Pro" w:cs="Times New Roman"/>
          <w:sz w:val="24"/>
          <w:szCs w:val="24"/>
        </w:rPr>
      </w:pPr>
      <w:r w:rsidRPr="009A5B96">
        <w:rPr>
          <w:rFonts w:ascii="Minion Pro" w:hAnsi="Minion Pro" w:cs="Times New Roman"/>
          <w:sz w:val="24"/>
          <w:szCs w:val="24"/>
        </w:rPr>
        <w:t xml:space="preserve">Bahtsul Masail pada edisi Munas NU tahun 1992 menghasilkan rumusan kerangka metodologis </w:t>
      </w:r>
      <w:r w:rsidRPr="009A5B96">
        <w:rPr>
          <w:rFonts w:ascii="Minion Pro" w:hAnsi="Minion Pro" w:cs="Times New Roman"/>
          <w:i/>
          <w:iCs/>
          <w:sz w:val="24"/>
          <w:szCs w:val="24"/>
        </w:rPr>
        <w:t>istinbāth</w:t>
      </w:r>
      <w:r w:rsidRPr="009A5B96">
        <w:rPr>
          <w:rFonts w:ascii="Minion Pro" w:hAnsi="Minion Pro" w:cs="Times New Roman"/>
          <w:sz w:val="24"/>
          <w:szCs w:val="24"/>
        </w:rPr>
        <w:t xml:space="preserve"> hukum. Rumusan tersebut terbagi atas dua komponan, yaitu trilogi metode </w:t>
      </w:r>
      <w:r w:rsidRPr="009A5B96">
        <w:rPr>
          <w:rFonts w:ascii="Minion Pro" w:hAnsi="Minion Pro" w:cs="Times New Roman"/>
          <w:i/>
          <w:iCs/>
          <w:sz w:val="24"/>
          <w:szCs w:val="24"/>
        </w:rPr>
        <w:t>istinbāth</w:t>
      </w:r>
      <w:r w:rsidRPr="009A5B96">
        <w:rPr>
          <w:rFonts w:ascii="Minion Pro" w:hAnsi="Minion Pro" w:cs="Times New Roman"/>
          <w:sz w:val="24"/>
          <w:szCs w:val="24"/>
        </w:rPr>
        <w:t xml:space="preserve"> yang meliputi metode </w:t>
      </w:r>
      <w:r w:rsidRPr="009A5B96">
        <w:rPr>
          <w:rFonts w:ascii="Minion Pro" w:hAnsi="Minion Pro" w:cs="Times New Roman"/>
          <w:i/>
          <w:iCs/>
          <w:sz w:val="24"/>
          <w:szCs w:val="24"/>
        </w:rPr>
        <w:t>qaulī</w:t>
      </w:r>
      <w:r w:rsidRPr="009A5B96">
        <w:rPr>
          <w:rFonts w:ascii="Minion Pro" w:hAnsi="Minion Pro" w:cs="Times New Roman"/>
          <w:sz w:val="24"/>
          <w:szCs w:val="24"/>
        </w:rPr>
        <w:t xml:space="preserve">, metode </w:t>
      </w:r>
      <w:r w:rsidRPr="009A5B96">
        <w:rPr>
          <w:rFonts w:ascii="Minion Pro" w:hAnsi="Minion Pro" w:cs="Times New Roman"/>
          <w:i/>
          <w:iCs/>
          <w:sz w:val="24"/>
          <w:szCs w:val="24"/>
        </w:rPr>
        <w:t>ilhāqī</w:t>
      </w:r>
      <w:r w:rsidRPr="009A5B96">
        <w:rPr>
          <w:rFonts w:ascii="Minion Pro" w:hAnsi="Minion Pro" w:cs="Times New Roman"/>
          <w:sz w:val="24"/>
          <w:szCs w:val="24"/>
        </w:rPr>
        <w:t xml:space="preserve">, dan metode </w:t>
      </w:r>
      <w:r w:rsidRPr="009A5B96">
        <w:rPr>
          <w:rFonts w:ascii="Minion Pro" w:hAnsi="Minion Pro" w:cs="Times New Roman"/>
          <w:i/>
          <w:iCs/>
          <w:sz w:val="24"/>
          <w:szCs w:val="24"/>
        </w:rPr>
        <w:t>manhajī</w:t>
      </w:r>
      <w:r w:rsidRPr="009A5B96">
        <w:rPr>
          <w:rFonts w:ascii="Minion Pro" w:hAnsi="Minion Pro" w:cs="Times New Roman"/>
          <w:sz w:val="24"/>
          <w:szCs w:val="24"/>
        </w:rPr>
        <w:t xml:space="preserve">, serta analisis sosial yang meliputi analisis masalah, analisis dampak, analisis hukum, dan analisis penerapan. Dari dua komponen tersebut, trilogi metode </w:t>
      </w:r>
      <w:r w:rsidRPr="009A5B96">
        <w:rPr>
          <w:rFonts w:ascii="Minion Pro" w:hAnsi="Minion Pro" w:cs="Times New Roman"/>
          <w:i/>
          <w:iCs/>
          <w:sz w:val="24"/>
          <w:szCs w:val="24"/>
        </w:rPr>
        <w:t>istinbāth</w:t>
      </w:r>
      <w:r w:rsidRPr="009A5B96">
        <w:rPr>
          <w:rFonts w:ascii="Minion Pro" w:hAnsi="Minion Pro" w:cs="Times New Roman"/>
          <w:sz w:val="24"/>
          <w:szCs w:val="24"/>
        </w:rPr>
        <w:t xml:space="preserve"> adalah yang paling banyak menarik perhatian dunia akademik.</w:t>
      </w:r>
    </w:p>
    <w:p w14:paraId="330D5538" w14:textId="77777777" w:rsidR="009A5B96" w:rsidRPr="009A5B96" w:rsidRDefault="009A5B96" w:rsidP="009A5B96">
      <w:pPr>
        <w:spacing w:line="240" w:lineRule="auto"/>
        <w:jc w:val="both"/>
        <w:rPr>
          <w:rFonts w:ascii="Minion Pro" w:hAnsi="Minion Pro" w:cs="Times New Roman"/>
          <w:iCs/>
          <w:sz w:val="24"/>
          <w:szCs w:val="24"/>
        </w:rPr>
      </w:pPr>
      <w:r w:rsidRPr="009A5B96">
        <w:rPr>
          <w:rFonts w:ascii="Minion Pro" w:hAnsi="Minion Pro" w:cs="Times New Roman"/>
          <w:iCs/>
          <w:sz w:val="24"/>
          <w:szCs w:val="24"/>
        </w:rPr>
        <w:t xml:space="preserve">Setelah dikaji lebih teliti, trilogi metode </w:t>
      </w:r>
      <w:r w:rsidRPr="009A5B96">
        <w:rPr>
          <w:rFonts w:ascii="Minion Pro" w:hAnsi="Minion Pro" w:cs="Times New Roman"/>
          <w:i/>
          <w:iCs/>
          <w:sz w:val="24"/>
          <w:szCs w:val="24"/>
        </w:rPr>
        <w:t>istinbāth</w:t>
      </w:r>
      <w:r w:rsidRPr="009A5B96">
        <w:rPr>
          <w:rFonts w:ascii="Minion Pro" w:hAnsi="Minion Pro" w:cs="Times New Roman"/>
          <w:iCs/>
          <w:sz w:val="24"/>
          <w:szCs w:val="24"/>
        </w:rPr>
        <w:t xml:space="preserve"> sebetulnya bukan merupakan suatu hal yang baru, melainkan institusionalisasi tradisi berpikir yang dimiliki oleh kiai-kiai NU sejak lama. Hal ini tidak terlepas dari Aswaja sebagai nalar keagamaan kiai-kiai NU yang telah diwarisi secara turun-temurun, di satu sisi, serta bercorak moderat dan fleksibel, di sisi yang lain. Corak moderat dan fleksibel tersebut tidak lepas dari kuatnya pertimbangan kemaslahatan dan realitas sosial (</w:t>
      </w:r>
      <w:r w:rsidRPr="009A5B96">
        <w:rPr>
          <w:rFonts w:ascii="Minion Pro" w:hAnsi="Minion Pro" w:cs="Times New Roman"/>
          <w:i/>
          <w:iCs/>
          <w:sz w:val="24"/>
          <w:szCs w:val="24"/>
        </w:rPr>
        <w:t>‘urf</w:t>
      </w:r>
      <w:r w:rsidRPr="009A5B96">
        <w:rPr>
          <w:rFonts w:ascii="Minion Pro" w:hAnsi="Minion Pro" w:cs="Times New Roman"/>
          <w:iCs/>
          <w:sz w:val="24"/>
          <w:szCs w:val="24"/>
        </w:rPr>
        <w:t>) dalam tradisi berpikir kiai-kiai NU sejak lama hingga sekarang.</w:t>
      </w:r>
    </w:p>
    <w:p w14:paraId="3DD725E1" w14:textId="6F97527F" w:rsidR="00FB0758" w:rsidRPr="009542FC" w:rsidRDefault="009A5B96" w:rsidP="009A5B96">
      <w:pPr>
        <w:spacing w:line="240" w:lineRule="auto"/>
        <w:jc w:val="both"/>
        <w:rPr>
          <w:rFonts w:ascii="Minion Pro" w:hAnsi="Minion Pro" w:cs="Times New Roman"/>
          <w:iCs/>
          <w:sz w:val="24"/>
          <w:szCs w:val="24"/>
        </w:rPr>
      </w:pPr>
      <w:r w:rsidRPr="009A5B96">
        <w:rPr>
          <w:rFonts w:ascii="Minion Pro" w:hAnsi="Minion Pro" w:cs="Times New Roman"/>
          <w:iCs/>
          <w:sz w:val="24"/>
          <w:szCs w:val="24"/>
        </w:rPr>
        <w:t xml:space="preserve">Selain itu, trilogi metode </w:t>
      </w:r>
      <w:r w:rsidRPr="009A5B96">
        <w:rPr>
          <w:rFonts w:ascii="Minion Pro" w:hAnsi="Minion Pro" w:cs="Times New Roman"/>
          <w:i/>
          <w:iCs/>
          <w:sz w:val="24"/>
          <w:szCs w:val="24"/>
        </w:rPr>
        <w:t>istinbāth</w:t>
      </w:r>
      <w:r w:rsidRPr="009A5B96">
        <w:rPr>
          <w:rFonts w:ascii="Minion Pro" w:hAnsi="Minion Pro" w:cs="Times New Roman"/>
          <w:iCs/>
          <w:sz w:val="24"/>
          <w:szCs w:val="24"/>
        </w:rPr>
        <w:t xml:space="preserve"> tersebut juga tidak berdiri sendiri-sendiri sebagai tiga entitas yang terpisah satu sama lain. Ketiganya memiliki hubungan yang dinamis dan bahkan tidak jarang bertumpang-tindih satu sama lain. Penggunaan metode </w:t>
      </w:r>
      <w:r w:rsidRPr="009A5B96">
        <w:rPr>
          <w:rFonts w:ascii="Minion Pro" w:hAnsi="Minion Pro" w:cs="Times New Roman"/>
          <w:i/>
          <w:iCs/>
          <w:sz w:val="24"/>
          <w:szCs w:val="24"/>
        </w:rPr>
        <w:t>qaulī</w:t>
      </w:r>
      <w:r w:rsidRPr="009A5B96">
        <w:rPr>
          <w:rFonts w:ascii="Minion Pro" w:hAnsi="Minion Pro" w:cs="Times New Roman"/>
          <w:iCs/>
          <w:sz w:val="24"/>
          <w:szCs w:val="24"/>
        </w:rPr>
        <w:t xml:space="preserve"> kadangkala juga melibatkan dua metode lainnya. Metode </w:t>
      </w:r>
      <w:r w:rsidRPr="009A5B96">
        <w:rPr>
          <w:rFonts w:ascii="Minion Pro" w:hAnsi="Minion Pro" w:cs="Times New Roman"/>
          <w:i/>
          <w:iCs/>
          <w:sz w:val="24"/>
          <w:szCs w:val="24"/>
        </w:rPr>
        <w:t>ilhāqī</w:t>
      </w:r>
      <w:r w:rsidRPr="009A5B96">
        <w:rPr>
          <w:rFonts w:ascii="Minion Pro" w:hAnsi="Minion Pro" w:cs="Times New Roman"/>
          <w:iCs/>
          <w:sz w:val="24"/>
          <w:szCs w:val="24"/>
        </w:rPr>
        <w:t xml:space="preserve"> dan </w:t>
      </w:r>
      <w:r w:rsidRPr="009A5B96">
        <w:rPr>
          <w:rFonts w:ascii="Minion Pro" w:hAnsi="Minion Pro" w:cs="Times New Roman"/>
          <w:i/>
          <w:iCs/>
          <w:sz w:val="24"/>
          <w:szCs w:val="24"/>
        </w:rPr>
        <w:t xml:space="preserve">manhajī </w:t>
      </w:r>
      <w:r w:rsidRPr="009A5B96">
        <w:rPr>
          <w:rFonts w:ascii="Minion Pro" w:hAnsi="Minion Pro" w:cs="Times New Roman"/>
          <w:iCs/>
          <w:sz w:val="24"/>
          <w:szCs w:val="24"/>
        </w:rPr>
        <w:t xml:space="preserve">juga seringkali tetap digunakan sekalipun tersembunyi di balik metode </w:t>
      </w:r>
      <w:r w:rsidRPr="009A5B96">
        <w:rPr>
          <w:rFonts w:ascii="Minion Pro" w:hAnsi="Minion Pro" w:cs="Times New Roman"/>
          <w:i/>
          <w:iCs/>
          <w:sz w:val="24"/>
          <w:szCs w:val="24"/>
        </w:rPr>
        <w:t>qaulī</w:t>
      </w:r>
      <w:r w:rsidRPr="009A5B96">
        <w:rPr>
          <w:rFonts w:ascii="Minion Pro" w:hAnsi="Minion Pro" w:cs="Times New Roman"/>
          <w:iCs/>
          <w:sz w:val="24"/>
          <w:szCs w:val="24"/>
        </w:rPr>
        <w:t xml:space="preserve"> yang lebih nampak di permukaan. Hal ini bisa dibuktikan dengan analisis sinkronis-diakronis terhadap sejumlah isu fatwa sebelum tahun 1992 berdasarkan kategori tema tertentu, yaitu peran perempuan di ranah publik, pengelolaan zakat produktif, dan penggunaan istilah “kafir” dan “non-Muslim”. Temuan ini sekaligus membantah asumsi sejumlah peneliti yang melakukan klasifikasi secara kuantitatif terhadap fatwa-fatwa hasil Bahtsul Masail berdasarkan metode </w:t>
      </w:r>
      <w:r w:rsidRPr="009A5B96">
        <w:rPr>
          <w:rFonts w:ascii="Minion Pro" w:hAnsi="Minion Pro" w:cs="Times New Roman"/>
          <w:i/>
          <w:iCs/>
          <w:sz w:val="24"/>
          <w:szCs w:val="24"/>
        </w:rPr>
        <w:t>istinbāth</w:t>
      </w:r>
      <w:r w:rsidRPr="009A5B96">
        <w:rPr>
          <w:rFonts w:ascii="Minion Pro" w:hAnsi="Minion Pro" w:cs="Times New Roman"/>
          <w:iCs/>
          <w:sz w:val="24"/>
          <w:szCs w:val="24"/>
        </w:rPr>
        <w:t xml:space="preserve"> yang digunakan. </w:t>
      </w:r>
      <w:r w:rsidR="00FD7667" w:rsidRPr="009542FC">
        <w:rPr>
          <w:rFonts w:ascii="Minion Pro" w:hAnsi="Minion Pro" w:cs="Times New Roman"/>
          <w:iCs/>
          <w:sz w:val="24"/>
          <w:szCs w:val="24"/>
        </w:rPr>
        <w:t>[]</w:t>
      </w:r>
    </w:p>
    <w:p w14:paraId="01D504AE" w14:textId="77777777" w:rsidR="00FD6578" w:rsidRPr="0086579C" w:rsidRDefault="00FD6578" w:rsidP="00DB74CB">
      <w:pPr>
        <w:spacing w:line="240" w:lineRule="auto"/>
        <w:rPr>
          <w:rFonts w:ascii="Times New Roman" w:hAnsi="Times New Roman" w:cs="Times New Roman"/>
          <w:b/>
          <w:sz w:val="24"/>
          <w:szCs w:val="24"/>
        </w:rPr>
      </w:pPr>
      <w:r w:rsidRPr="0086579C">
        <w:rPr>
          <w:rFonts w:ascii="Times New Roman" w:hAnsi="Times New Roman" w:cs="Times New Roman"/>
          <w:b/>
          <w:sz w:val="24"/>
          <w:szCs w:val="24"/>
        </w:rPr>
        <w:lastRenderedPageBreak/>
        <w:t>__________________________________________________________________</w:t>
      </w:r>
    </w:p>
    <w:p w14:paraId="642135D1" w14:textId="77777777" w:rsidR="00FB0758" w:rsidRPr="0086579C" w:rsidRDefault="00FB0758" w:rsidP="00DB74CB">
      <w:pPr>
        <w:spacing w:after="0" w:line="240" w:lineRule="auto"/>
        <w:jc w:val="both"/>
        <w:rPr>
          <w:rFonts w:ascii="Minion Pro" w:hAnsi="Minion Pro" w:cs="Times New Roman"/>
          <w:b/>
          <w:bCs/>
          <w:iCs/>
          <w:sz w:val="24"/>
          <w:szCs w:val="24"/>
        </w:rPr>
      </w:pPr>
    </w:p>
    <w:p w14:paraId="35AEC52C" w14:textId="77777777" w:rsidR="00FB0758" w:rsidRPr="0086579C" w:rsidRDefault="00FB0758" w:rsidP="00DB74CB">
      <w:pPr>
        <w:spacing w:after="0" w:line="240" w:lineRule="auto"/>
        <w:jc w:val="both"/>
        <w:rPr>
          <w:rFonts w:ascii="Minion Pro" w:hAnsi="Minion Pro" w:cs="Times New Roman"/>
          <w:b/>
          <w:bCs/>
          <w:iCs/>
          <w:sz w:val="24"/>
          <w:szCs w:val="24"/>
        </w:rPr>
      </w:pPr>
      <w:r w:rsidRPr="0086579C">
        <w:rPr>
          <w:rFonts w:ascii="Minion Pro" w:hAnsi="Minion Pro" w:cs="Times New Roman"/>
          <w:b/>
          <w:bCs/>
          <w:iCs/>
          <w:sz w:val="24"/>
          <w:szCs w:val="24"/>
        </w:rPr>
        <w:t>REFEREN</w:t>
      </w:r>
      <w:r w:rsidR="00FD7667" w:rsidRPr="0086579C">
        <w:rPr>
          <w:rFonts w:ascii="Minion Pro" w:hAnsi="Minion Pro" w:cs="Times New Roman"/>
          <w:b/>
          <w:bCs/>
          <w:iCs/>
          <w:sz w:val="24"/>
          <w:szCs w:val="24"/>
        </w:rPr>
        <w:t>CES</w:t>
      </w:r>
    </w:p>
    <w:p w14:paraId="0CCEFC29" w14:textId="77777777" w:rsidR="00FB0758" w:rsidRPr="0086579C" w:rsidRDefault="00FB0758" w:rsidP="00DB74CB">
      <w:pPr>
        <w:spacing w:after="0" w:line="240" w:lineRule="auto"/>
        <w:jc w:val="both"/>
        <w:rPr>
          <w:rFonts w:ascii="Minion Pro" w:hAnsi="Minion Pro" w:cs="Times New Roman"/>
          <w:b/>
          <w:bCs/>
          <w:iCs/>
          <w:sz w:val="24"/>
          <w:szCs w:val="24"/>
        </w:rPr>
      </w:pPr>
    </w:p>
    <w:p w14:paraId="72666046" w14:textId="77777777" w:rsidR="008F0D97" w:rsidRPr="008F0D97" w:rsidRDefault="008F0D97" w:rsidP="008F0D97">
      <w:pPr>
        <w:spacing w:line="240" w:lineRule="auto"/>
        <w:ind w:left="851" w:hanging="851"/>
        <w:jc w:val="both"/>
        <w:rPr>
          <w:rFonts w:ascii="Minion Pro" w:hAnsi="Minion Pro" w:cs="Times New Roman"/>
          <w:iCs/>
          <w:sz w:val="24"/>
          <w:szCs w:val="24"/>
          <w:lang w:val="en-US"/>
        </w:rPr>
      </w:pPr>
      <w:r w:rsidRPr="008F0D97">
        <w:rPr>
          <w:rFonts w:ascii="Minion Pro" w:hAnsi="Minion Pro" w:cs="Times New Roman"/>
          <w:iCs/>
          <w:sz w:val="24"/>
          <w:szCs w:val="24"/>
        </w:rPr>
        <w:t>Bruinessen, Martin van</w:t>
      </w:r>
      <w:r w:rsidRPr="008F0D97">
        <w:rPr>
          <w:rFonts w:ascii="Minion Pro" w:hAnsi="Minion Pro" w:cs="Times New Roman"/>
          <w:iCs/>
          <w:sz w:val="24"/>
          <w:szCs w:val="24"/>
          <w:lang w:val="en-US"/>
        </w:rPr>
        <w:t>.</w:t>
      </w:r>
      <w:r w:rsidRPr="008F0D97">
        <w:rPr>
          <w:rFonts w:ascii="Minion Pro" w:hAnsi="Minion Pro" w:cs="Times New Roman"/>
          <w:iCs/>
          <w:sz w:val="24"/>
          <w:szCs w:val="24"/>
        </w:rPr>
        <w:t xml:space="preserve"> </w:t>
      </w:r>
      <w:r w:rsidRPr="008F0D97">
        <w:rPr>
          <w:rFonts w:ascii="Minion Pro" w:hAnsi="Minion Pro" w:cs="Times New Roman"/>
          <w:i/>
          <w:iCs/>
          <w:sz w:val="24"/>
          <w:szCs w:val="24"/>
        </w:rPr>
        <w:t>NU: Tradisi, Relasi-relasi Kuasa, Pencarian Wacana Baru</w:t>
      </w:r>
      <w:r w:rsidRPr="008F0D97">
        <w:rPr>
          <w:rFonts w:ascii="Minion Pro" w:hAnsi="Minion Pro" w:cs="Times New Roman"/>
          <w:iCs/>
          <w:sz w:val="24"/>
          <w:szCs w:val="24"/>
          <w:lang w:val="en-US"/>
        </w:rPr>
        <w:t>.</w:t>
      </w:r>
      <w:r w:rsidRPr="008F0D97">
        <w:rPr>
          <w:rFonts w:ascii="Minion Pro" w:hAnsi="Minion Pro" w:cs="Times New Roman"/>
          <w:iCs/>
          <w:sz w:val="24"/>
          <w:szCs w:val="24"/>
        </w:rPr>
        <w:t xml:space="preserve"> </w:t>
      </w:r>
      <w:proofErr w:type="spellStart"/>
      <w:r w:rsidRPr="008F0D97">
        <w:rPr>
          <w:rFonts w:ascii="Minion Pro" w:hAnsi="Minion Pro" w:cs="Times New Roman"/>
          <w:iCs/>
          <w:sz w:val="24"/>
          <w:szCs w:val="24"/>
          <w:lang w:val="en-US"/>
        </w:rPr>
        <w:t>Ctk</w:t>
      </w:r>
      <w:proofErr w:type="spellEnd"/>
      <w:r w:rsidRPr="008F0D97">
        <w:rPr>
          <w:rFonts w:ascii="Minion Pro" w:hAnsi="Minion Pro" w:cs="Times New Roman"/>
          <w:iCs/>
          <w:sz w:val="24"/>
          <w:szCs w:val="24"/>
        </w:rPr>
        <w:t xml:space="preserve">. </w:t>
      </w:r>
      <w:r w:rsidRPr="008F0D97">
        <w:rPr>
          <w:rFonts w:ascii="Minion Pro" w:hAnsi="Minion Pro" w:cs="Times New Roman"/>
          <w:iCs/>
          <w:sz w:val="24"/>
          <w:szCs w:val="24"/>
          <w:lang w:val="en-US"/>
        </w:rPr>
        <w:t xml:space="preserve">V. </w:t>
      </w:r>
      <w:r w:rsidRPr="008F0D97">
        <w:rPr>
          <w:rFonts w:ascii="Minion Pro" w:hAnsi="Minion Pro" w:cs="Times New Roman"/>
          <w:iCs/>
          <w:sz w:val="24"/>
          <w:szCs w:val="24"/>
        </w:rPr>
        <w:t>Yogyakarta: LkiS, 2008</w:t>
      </w:r>
      <w:r w:rsidRPr="008F0D97">
        <w:rPr>
          <w:rFonts w:ascii="Minion Pro" w:hAnsi="Minion Pro" w:cs="Times New Roman"/>
          <w:iCs/>
          <w:sz w:val="24"/>
          <w:szCs w:val="24"/>
          <w:lang w:val="en-US"/>
        </w:rPr>
        <w:t xml:space="preserve">. </w:t>
      </w:r>
    </w:p>
    <w:p w14:paraId="5C88638D" w14:textId="77777777" w:rsidR="008F0D97" w:rsidRPr="008F0D97" w:rsidRDefault="008F0D97" w:rsidP="008F0D97">
      <w:pPr>
        <w:spacing w:line="240" w:lineRule="auto"/>
        <w:ind w:left="851" w:hanging="851"/>
        <w:jc w:val="both"/>
        <w:rPr>
          <w:rFonts w:ascii="Minion Pro" w:hAnsi="Minion Pro" w:cs="Times New Roman"/>
          <w:iCs/>
          <w:sz w:val="24"/>
          <w:szCs w:val="24"/>
        </w:rPr>
      </w:pPr>
      <w:r w:rsidRPr="008F0D97">
        <w:rPr>
          <w:rFonts w:ascii="Minion Pro" w:hAnsi="Minion Pro" w:cs="Times New Roman"/>
          <w:iCs/>
          <w:sz w:val="24"/>
          <w:szCs w:val="24"/>
        </w:rPr>
        <w:t>Feillard, Andrèe</w:t>
      </w:r>
      <w:r w:rsidRPr="008F0D97">
        <w:rPr>
          <w:rFonts w:ascii="Minion Pro" w:hAnsi="Minion Pro" w:cs="Times New Roman"/>
          <w:iCs/>
          <w:sz w:val="24"/>
          <w:szCs w:val="24"/>
          <w:lang w:val="en-US"/>
        </w:rPr>
        <w:t>.</w:t>
      </w:r>
      <w:r w:rsidRPr="008F0D97">
        <w:rPr>
          <w:rFonts w:ascii="Minion Pro" w:hAnsi="Minion Pro" w:cs="Times New Roman"/>
          <w:iCs/>
          <w:sz w:val="24"/>
          <w:szCs w:val="24"/>
        </w:rPr>
        <w:t xml:space="preserve"> </w:t>
      </w:r>
      <w:r w:rsidRPr="008F0D97">
        <w:rPr>
          <w:rFonts w:ascii="Minion Pro" w:hAnsi="Minion Pro" w:cs="Times New Roman"/>
          <w:i/>
          <w:iCs/>
          <w:sz w:val="24"/>
          <w:szCs w:val="24"/>
        </w:rPr>
        <w:t>NU vis-a-vis Negara: Pencarian Isi, Bentuk, dan Makna</w:t>
      </w:r>
      <w:r w:rsidRPr="008F0D97">
        <w:rPr>
          <w:rFonts w:ascii="Minion Pro" w:hAnsi="Minion Pro" w:cs="Times New Roman"/>
          <w:iCs/>
          <w:sz w:val="24"/>
          <w:szCs w:val="24"/>
          <w:lang w:val="en-US"/>
        </w:rPr>
        <w:t>.</w:t>
      </w:r>
      <w:r w:rsidRPr="008F0D97">
        <w:rPr>
          <w:rFonts w:ascii="Minion Pro" w:hAnsi="Minion Pro" w:cs="Times New Roman"/>
          <w:iCs/>
          <w:sz w:val="24"/>
          <w:szCs w:val="24"/>
        </w:rPr>
        <w:t xml:space="preserve"> Terj. oleh Lesmana. Ctk. III. Yogyakarta: LkiS, 2009.</w:t>
      </w:r>
    </w:p>
    <w:p w14:paraId="775FF774" w14:textId="77777777" w:rsidR="008F0D97" w:rsidRPr="008F0D97" w:rsidRDefault="008F0D97" w:rsidP="008F0D97">
      <w:pPr>
        <w:spacing w:line="240" w:lineRule="auto"/>
        <w:ind w:left="851" w:hanging="851"/>
        <w:jc w:val="both"/>
        <w:rPr>
          <w:rFonts w:ascii="Minion Pro" w:hAnsi="Minion Pro" w:cs="Times New Roman"/>
          <w:iCs/>
          <w:sz w:val="24"/>
          <w:szCs w:val="24"/>
          <w:lang w:val="en-US"/>
        </w:rPr>
      </w:pPr>
      <w:r w:rsidRPr="008F0D97">
        <w:rPr>
          <w:rFonts w:ascii="Minion Pro" w:hAnsi="Minion Pro" w:cs="Times New Roman"/>
          <w:iCs/>
          <w:sz w:val="24"/>
          <w:szCs w:val="24"/>
        </w:rPr>
        <w:t xml:space="preserve">LTN-PBNU. </w:t>
      </w:r>
      <w:r w:rsidRPr="008F0D97">
        <w:rPr>
          <w:rFonts w:ascii="Minion Pro" w:hAnsi="Minion Pro" w:cs="Times New Roman"/>
          <w:i/>
          <w:iCs/>
          <w:sz w:val="24"/>
          <w:szCs w:val="24"/>
        </w:rPr>
        <w:t>Ahkamul Fuqaha: Solusi Problematika Aktual Umat Islam (Keputusan Muktamar, Munas, dan Konbes Nahdlatul Ulama 1926-2010)</w:t>
      </w:r>
      <w:r w:rsidRPr="008F0D97">
        <w:rPr>
          <w:rFonts w:ascii="Minion Pro" w:hAnsi="Minion Pro" w:cs="Times New Roman"/>
          <w:iCs/>
          <w:sz w:val="24"/>
          <w:szCs w:val="24"/>
        </w:rPr>
        <w:t xml:space="preserve">. </w:t>
      </w:r>
      <w:r w:rsidRPr="008F0D97">
        <w:rPr>
          <w:rFonts w:ascii="Minion Pro" w:hAnsi="Minion Pro" w:cs="Times New Roman"/>
          <w:iCs/>
          <w:sz w:val="24"/>
          <w:szCs w:val="24"/>
          <w:lang w:val="en-US"/>
        </w:rPr>
        <w:t>C</w:t>
      </w:r>
      <w:r w:rsidRPr="008F0D97">
        <w:rPr>
          <w:rFonts w:ascii="Minion Pro" w:hAnsi="Minion Pro" w:cs="Times New Roman"/>
          <w:iCs/>
          <w:sz w:val="24"/>
          <w:szCs w:val="24"/>
        </w:rPr>
        <w:t>tk. I</w:t>
      </w:r>
      <w:r w:rsidRPr="008F0D97">
        <w:rPr>
          <w:rFonts w:ascii="Minion Pro" w:hAnsi="Minion Pro" w:cs="Times New Roman"/>
          <w:iCs/>
          <w:sz w:val="24"/>
          <w:szCs w:val="24"/>
          <w:lang w:val="en-US"/>
        </w:rPr>
        <w:t xml:space="preserve">. </w:t>
      </w:r>
      <w:r w:rsidRPr="008F0D97">
        <w:rPr>
          <w:rFonts w:ascii="Minion Pro" w:hAnsi="Minion Pro" w:cs="Times New Roman"/>
          <w:iCs/>
          <w:sz w:val="24"/>
          <w:szCs w:val="24"/>
        </w:rPr>
        <w:t>Surabaya: Khalista, 2011</w:t>
      </w:r>
      <w:r w:rsidRPr="008F0D97">
        <w:rPr>
          <w:rFonts w:ascii="Minion Pro" w:hAnsi="Minion Pro" w:cs="Times New Roman"/>
          <w:iCs/>
          <w:sz w:val="24"/>
          <w:szCs w:val="24"/>
          <w:lang w:val="en-US"/>
        </w:rPr>
        <w:t>.</w:t>
      </w:r>
    </w:p>
    <w:p w14:paraId="37A5182C" w14:textId="77777777" w:rsidR="008F0D97" w:rsidRPr="008F0D97" w:rsidRDefault="008F0D97" w:rsidP="008F0D97">
      <w:pPr>
        <w:spacing w:line="240" w:lineRule="auto"/>
        <w:ind w:left="851" w:hanging="851"/>
        <w:jc w:val="both"/>
        <w:rPr>
          <w:rFonts w:ascii="Minion Pro" w:hAnsi="Minion Pro" w:cs="Times New Roman"/>
          <w:iCs/>
          <w:sz w:val="24"/>
          <w:szCs w:val="24"/>
        </w:rPr>
      </w:pPr>
      <w:r w:rsidRPr="008F0D97">
        <w:rPr>
          <w:rFonts w:ascii="Minion Pro" w:hAnsi="Minion Pro" w:cs="Times New Roman"/>
          <w:iCs/>
          <w:sz w:val="24"/>
          <w:szCs w:val="24"/>
          <w:lang w:val="en-US"/>
        </w:rPr>
        <w:t xml:space="preserve">_____. </w:t>
      </w:r>
      <w:r w:rsidRPr="008F0D97">
        <w:rPr>
          <w:rFonts w:ascii="Minion Pro" w:hAnsi="Minion Pro" w:cs="Times New Roman"/>
          <w:i/>
          <w:iCs/>
          <w:sz w:val="24"/>
          <w:szCs w:val="24"/>
          <w:lang w:val="en-US"/>
        </w:rPr>
        <w:t>Hasil-</w:t>
      </w:r>
      <w:proofErr w:type="spellStart"/>
      <w:r w:rsidRPr="008F0D97">
        <w:rPr>
          <w:rFonts w:ascii="Minion Pro" w:hAnsi="Minion Pro" w:cs="Times New Roman"/>
          <w:i/>
          <w:iCs/>
          <w:sz w:val="24"/>
          <w:szCs w:val="24"/>
          <w:lang w:val="en-US"/>
        </w:rPr>
        <w:t>hasil</w:t>
      </w:r>
      <w:proofErr w:type="spellEnd"/>
      <w:r w:rsidRPr="008F0D97">
        <w:rPr>
          <w:rFonts w:ascii="Minion Pro" w:hAnsi="Minion Pro" w:cs="Times New Roman"/>
          <w:i/>
          <w:iCs/>
          <w:sz w:val="24"/>
          <w:szCs w:val="24"/>
          <w:lang w:val="en-US"/>
        </w:rPr>
        <w:t xml:space="preserve"> </w:t>
      </w:r>
      <w:proofErr w:type="spellStart"/>
      <w:r w:rsidRPr="008F0D97">
        <w:rPr>
          <w:rFonts w:ascii="Minion Pro" w:hAnsi="Minion Pro" w:cs="Times New Roman"/>
          <w:i/>
          <w:iCs/>
          <w:sz w:val="24"/>
          <w:szCs w:val="24"/>
          <w:lang w:val="en-US"/>
        </w:rPr>
        <w:t>Muktamar</w:t>
      </w:r>
      <w:proofErr w:type="spellEnd"/>
      <w:r w:rsidRPr="008F0D97">
        <w:rPr>
          <w:rFonts w:ascii="Minion Pro" w:hAnsi="Minion Pro" w:cs="Times New Roman"/>
          <w:i/>
          <w:iCs/>
          <w:sz w:val="24"/>
          <w:szCs w:val="24"/>
          <w:lang w:val="en-US"/>
        </w:rPr>
        <w:t xml:space="preserve"> ke-33 </w:t>
      </w:r>
      <w:proofErr w:type="spellStart"/>
      <w:r w:rsidRPr="008F0D97">
        <w:rPr>
          <w:rFonts w:ascii="Minion Pro" w:hAnsi="Minion Pro" w:cs="Times New Roman"/>
          <w:i/>
          <w:iCs/>
          <w:sz w:val="24"/>
          <w:szCs w:val="24"/>
          <w:lang w:val="en-US"/>
        </w:rPr>
        <w:t>Nahdlatul</w:t>
      </w:r>
      <w:proofErr w:type="spellEnd"/>
      <w:r w:rsidRPr="008F0D97">
        <w:rPr>
          <w:rFonts w:ascii="Minion Pro" w:hAnsi="Minion Pro" w:cs="Times New Roman"/>
          <w:i/>
          <w:iCs/>
          <w:sz w:val="24"/>
          <w:szCs w:val="24"/>
          <w:lang w:val="en-US"/>
        </w:rPr>
        <w:t xml:space="preserve"> Ulama</w:t>
      </w:r>
      <w:r w:rsidRPr="008F0D97">
        <w:rPr>
          <w:rFonts w:ascii="Minion Pro" w:hAnsi="Minion Pro" w:cs="Times New Roman"/>
          <w:iCs/>
          <w:sz w:val="24"/>
          <w:szCs w:val="24"/>
          <w:lang w:val="en-US"/>
        </w:rPr>
        <w:t xml:space="preserve">. </w:t>
      </w:r>
      <w:proofErr w:type="spellStart"/>
      <w:r w:rsidRPr="008F0D97">
        <w:rPr>
          <w:rFonts w:ascii="Minion Pro" w:hAnsi="Minion Pro" w:cs="Times New Roman"/>
          <w:iCs/>
          <w:sz w:val="24"/>
          <w:szCs w:val="24"/>
          <w:lang w:val="en-US"/>
        </w:rPr>
        <w:t>Ctk</w:t>
      </w:r>
      <w:proofErr w:type="spellEnd"/>
      <w:r w:rsidRPr="008F0D97">
        <w:rPr>
          <w:rFonts w:ascii="Minion Pro" w:hAnsi="Minion Pro" w:cs="Times New Roman"/>
          <w:iCs/>
          <w:sz w:val="24"/>
          <w:szCs w:val="24"/>
          <w:lang w:val="en-US"/>
        </w:rPr>
        <w:t>. II. Jakarta: LTN-PBNU, 2016.</w:t>
      </w:r>
    </w:p>
    <w:p w14:paraId="539D33B7" w14:textId="77777777" w:rsidR="008F0D97" w:rsidRPr="008F0D97" w:rsidRDefault="008F0D97" w:rsidP="008F0D97">
      <w:pPr>
        <w:spacing w:line="240" w:lineRule="auto"/>
        <w:ind w:left="851" w:hanging="851"/>
        <w:jc w:val="both"/>
        <w:rPr>
          <w:rFonts w:ascii="Minion Pro" w:hAnsi="Minion Pro" w:cs="Times New Roman"/>
          <w:iCs/>
          <w:sz w:val="24"/>
          <w:szCs w:val="24"/>
          <w:lang w:val="en-US"/>
        </w:rPr>
      </w:pPr>
      <w:r w:rsidRPr="008F0D97">
        <w:rPr>
          <w:rFonts w:ascii="Minion Pro" w:hAnsi="Minion Pro" w:cs="Times New Roman"/>
          <w:iCs/>
          <w:sz w:val="24"/>
          <w:szCs w:val="24"/>
        </w:rPr>
        <w:t>Radino</w:t>
      </w:r>
      <w:r w:rsidRPr="008F0D97">
        <w:rPr>
          <w:rFonts w:ascii="Minion Pro" w:hAnsi="Minion Pro" w:cs="Times New Roman"/>
          <w:iCs/>
          <w:sz w:val="24"/>
          <w:szCs w:val="24"/>
          <w:lang w:val="en-US"/>
        </w:rPr>
        <w:t>.</w:t>
      </w:r>
      <w:r w:rsidRPr="008F0D97">
        <w:rPr>
          <w:rFonts w:ascii="Minion Pro" w:hAnsi="Minion Pro" w:cs="Times New Roman"/>
          <w:iCs/>
          <w:sz w:val="24"/>
          <w:szCs w:val="24"/>
        </w:rPr>
        <w:t xml:space="preserve"> “Metode Ijtihad Nahdlatul Ulama: Kajian terhadap Keputusan Bahtsul Masail NU Pusat pada Masalah-masalah Fiqih Kontemporer”</w:t>
      </w:r>
      <w:r w:rsidRPr="008F0D97">
        <w:rPr>
          <w:rFonts w:ascii="Minion Pro" w:hAnsi="Minion Pro" w:cs="Times New Roman"/>
          <w:iCs/>
          <w:sz w:val="24"/>
          <w:szCs w:val="24"/>
          <w:lang w:val="en-US"/>
        </w:rPr>
        <w:t>.</w:t>
      </w:r>
      <w:r w:rsidRPr="008F0D97">
        <w:rPr>
          <w:rFonts w:ascii="Minion Pro" w:hAnsi="Minion Pro" w:cs="Times New Roman"/>
          <w:iCs/>
          <w:sz w:val="24"/>
          <w:szCs w:val="24"/>
        </w:rPr>
        <w:t xml:space="preserve"> </w:t>
      </w:r>
      <w:r w:rsidRPr="008F0D97">
        <w:rPr>
          <w:rFonts w:ascii="Minion Pro" w:hAnsi="Minion Pro" w:cs="Times New Roman"/>
          <w:i/>
          <w:iCs/>
          <w:sz w:val="24"/>
          <w:szCs w:val="24"/>
          <w:lang w:val="en-US"/>
        </w:rPr>
        <w:t>T</w:t>
      </w:r>
      <w:r w:rsidRPr="008F0D97">
        <w:rPr>
          <w:rFonts w:ascii="Minion Pro" w:hAnsi="Minion Pro" w:cs="Times New Roman"/>
          <w:i/>
          <w:iCs/>
          <w:sz w:val="24"/>
          <w:szCs w:val="24"/>
        </w:rPr>
        <w:t>esis</w:t>
      </w:r>
      <w:r w:rsidRPr="008F0D97">
        <w:rPr>
          <w:rFonts w:ascii="Minion Pro" w:hAnsi="Minion Pro" w:cs="Times New Roman"/>
          <w:iCs/>
          <w:sz w:val="24"/>
          <w:szCs w:val="24"/>
          <w:lang w:val="en-US"/>
        </w:rPr>
        <w:t xml:space="preserve">. </w:t>
      </w:r>
      <w:r w:rsidRPr="008F0D97">
        <w:rPr>
          <w:rFonts w:ascii="Minion Pro" w:hAnsi="Minion Pro" w:cs="Times New Roman"/>
          <w:iCs/>
          <w:sz w:val="24"/>
          <w:szCs w:val="24"/>
        </w:rPr>
        <w:t>Banda Aceh: IAIN Ar-Raniri, 1997</w:t>
      </w:r>
      <w:r w:rsidRPr="008F0D97">
        <w:rPr>
          <w:rFonts w:ascii="Minion Pro" w:hAnsi="Minion Pro" w:cs="Times New Roman"/>
          <w:iCs/>
          <w:sz w:val="24"/>
          <w:szCs w:val="24"/>
          <w:lang w:val="en-US"/>
        </w:rPr>
        <w:t>.</w:t>
      </w:r>
    </w:p>
    <w:p w14:paraId="50D5C441" w14:textId="77777777" w:rsidR="008F0D97" w:rsidRPr="008F0D97" w:rsidRDefault="008F0D97" w:rsidP="008F0D97">
      <w:pPr>
        <w:spacing w:line="240" w:lineRule="auto"/>
        <w:ind w:left="851" w:hanging="851"/>
        <w:jc w:val="both"/>
        <w:rPr>
          <w:rFonts w:ascii="Minion Pro" w:hAnsi="Minion Pro" w:cs="Times New Roman"/>
          <w:iCs/>
          <w:sz w:val="24"/>
          <w:szCs w:val="24"/>
          <w:lang w:val="en-US"/>
        </w:rPr>
      </w:pPr>
      <w:r w:rsidRPr="008F0D97">
        <w:rPr>
          <w:rFonts w:ascii="Minion Pro" w:hAnsi="Minion Pro" w:cs="Times New Roman"/>
          <w:iCs/>
          <w:sz w:val="24"/>
          <w:szCs w:val="24"/>
          <w:lang w:val="en-US"/>
        </w:rPr>
        <w:t>Yahya, Imam. “</w:t>
      </w:r>
      <w:proofErr w:type="spellStart"/>
      <w:r w:rsidRPr="008F0D97">
        <w:rPr>
          <w:rFonts w:ascii="Minion Pro" w:hAnsi="Minion Pro" w:cs="Times New Roman"/>
          <w:iCs/>
          <w:sz w:val="24"/>
          <w:szCs w:val="24"/>
          <w:lang w:val="en-US"/>
        </w:rPr>
        <w:t>Bahtsul</w:t>
      </w:r>
      <w:proofErr w:type="spellEnd"/>
      <w:r w:rsidRPr="008F0D97">
        <w:rPr>
          <w:rFonts w:ascii="Minion Pro" w:hAnsi="Minion Pro" w:cs="Times New Roman"/>
          <w:iCs/>
          <w:sz w:val="24"/>
          <w:szCs w:val="24"/>
          <w:lang w:val="en-US"/>
        </w:rPr>
        <w:t xml:space="preserve"> </w:t>
      </w:r>
      <w:proofErr w:type="spellStart"/>
      <w:r w:rsidRPr="008F0D97">
        <w:rPr>
          <w:rFonts w:ascii="Minion Pro" w:hAnsi="Minion Pro" w:cs="Times New Roman"/>
          <w:iCs/>
          <w:sz w:val="24"/>
          <w:szCs w:val="24"/>
          <w:lang w:val="en-US"/>
        </w:rPr>
        <w:t>Masail</w:t>
      </w:r>
      <w:proofErr w:type="spellEnd"/>
      <w:r w:rsidRPr="008F0D97">
        <w:rPr>
          <w:rFonts w:ascii="Minion Pro" w:hAnsi="Minion Pro" w:cs="Times New Roman"/>
          <w:iCs/>
          <w:sz w:val="24"/>
          <w:szCs w:val="24"/>
          <w:lang w:val="en-US"/>
        </w:rPr>
        <w:t xml:space="preserve"> NU dan </w:t>
      </w:r>
      <w:proofErr w:type="spellStart"/>
      <w:r w:rsidRPr="008F0D97">
        <w:rPr>
          <w:rFonts w:ascii="Minion Pro" w:hAnsi="Minion Pro" w:cs="Times New Roman"/>
          <w:iCs/>
          <w:sz w:val="24"/>
          <w:szCs w:val="24"/>
          <w:lang w:val="en-US"/>
        </w:rPr>
        <w:t>Transformasi</w:t>
      </w:r>
      <w:proofErr w:type="spellEnd"/>
      <w:r w:rsidRPr="008F0D97">
        <w:rPr>
          <w:rFonts w:ascii="Minion Pro" w:hAnsi="Minion Pro" w:cs="Times New Roman"/>
          <w:iCs/>
          <w:sz w:val="24"/>
          <w:szCs w:val="24"/>
          <w:lang w:val="en-US"/>
        </w:rPr>
        <w:t xml:space="preserve"> </w:t>
      </w:r>
      <w:proofErr w:type="spellStart"/>
      <w:r w:rsidRPr="008F0D97">
        <w:rPr>
          <w:rFonts w:ascii="Minion Pro" w:hAnsi="Minion Pro" w:cs="Times New Roman"/>
          <w:iCs/>
          <w:sz w:val="24"/>
          <w:szCs w:val="24"/>
          <w:lang w:val="en-US"/>
        </w:rPr>
        <w:t>Sosial</w:t>
      </w:r>
      <w:proofErr w:type="spellEnd"/>
      <w:r w:rsidRPr="008F0D97">
        <w:rPr>
          <w:rFonts w:ascii="Minion Pro" w:hAnsi="Minion Pro" w:cs="Times New Roman"/>
          <w:iCs/>
          <w:sz w:val="24"/>
          <w:szCs w:val="24"/>
          <w:lang w:val="en-US"/>
        </w:rPr>
        <w:t xml:space="preserve">: </w:t>
      </w:r>
      <w:proofErr w:type="spellStart"/>
      <w:r w:rsidRPr="008F0D97">
        <w:rPr>
          <w:rFonts w:ascii="Minion Pro" w:hAnsi="Minion Pro" w:cs="Times New Roman"/>
          <w:iCs/>
          <w:sz w:val="24"/>
          <w:szCs w:val="24"/>
          <w:lang w:val="en-US"/>
        </w:rPr>
        <w:t>Telaah</w:t>
      </w:r>
      <w:proofErr w:type="spellEnd"/>
      <w:r w:rsidRPr="008F0D97">
        <w:rPr>
          <w:rFonts w:ascii="Minion Pro" w:hAnsi="Minion Pro" w:cs="Times New Roman"/>
          <w:iCs/>
          <w:sz w:val="24"/>
          <w:szCs w:val="24"/>
          <w:lang w:val="en-US"/>
        </w:rPr>
        <w:t xml:space="preserve"> </w:t>
      </w:r>
      <w:proofErr w:type="spellStart"/>
      <w:r w:rsidRPr="008F0D97">
        <w:rPr>
          <w:rFonts w:ascii="Minion Pro" w:hAnsi="Minion Pro" w:cs="Times New Roman"/>
          <w:iCs/>
          <w:sz w:val="24"/>
          <w:szCs w:val="24"/>
          <w:lang w:val="en-US"/>
        </w:rPr>
        <w:t>Istinbath</w:t>
      </w:r>
      <w:proofErr w:type="spellEnd"/>
      <w:r w:rsidRPr="008F0D97">
        <w:rPr>
          <w:rFonts w:ascii="Minion Pro" w:hAnsi="Minion Pro" w:cs="Times New Roman"/>
          <w:iCs/>
          <w:sz w:val="24"/>
          <w:szCs w:val="24"/>
          <w:lang w:val="en-US"/>
        </w:rPr>
        <w:t xml:space="preserve"> Hukum </w:t>
      </w:r>
      <w:proofErr w:type="spellStart"/>
      <w:r w:rsidRPr="008F0D97">
        <w:rPr>
          <w:rFonts w:ascii="Minion Pro" w:hAnsi="Minion Pro" w:cs="Times New Roman"/>
          <w:iCs/>
          <w:sz w:val="24"/>
          <w:szCs w:val="24"/>
          <w:lang w:val="en-US"/>
        </w:rPr>
        <w:t>Pasca</w:t>
      </w:r>
      <w:proofErr w:type="spellEnd"/>
      <w:r w:rsidRPr="008F0D97">
        <w:rPr>
          <w:rFonts w:ascii="Minion Pro" w:hAnsi="Minion Pro" w:cs="Times New Roman"/>
          <w:iCs/>
          <w:sz w:val="24"/>
          <w:szCs w:val="24"/>
          <w:lang w:val="en-US"/>
        </w:rPr>
        <w:t xml:space="preserve"> </w:t>
      </w:r>
      <w:proofErr w:type="spellStart"/>
      <w:r w:rsidRPr="008F0D97">
        <w:rPr>
          <w:rFonts w:ascii="Minion Pro" w:hAnsi="Minion Pro" w:cs="Times New Roman"/>
          <w:iCs/>
          <w:sz w:val="24"/>
          <w:szCs w:val="24"/>
          <w:lang w:val="en-US"/>
        </w:rPr>
        <w:t>Munas</w:t>
      </w:r>
      <w:proofErr w:type="spellEnd"/>
      <w:r w:rsidRPr="008F0D97">
        <w:rPr>
          <w:rFonts w:ascii="Minion Pro" w:hAnsi="Minion Pro" w:cs="Times New Roman"/>
          <w:iCs/>
          <w:sz w:val="24"/>
          <w:szCs w:val="24"/>
          <w:lang w:val="en-US"/>
        </w:rPr>
        <w:t xml:space="preserve"> Bandar Lampung 1992”. </w:t>
      </w:r>
      <w:proofErr w:type="spellStart"/>
      <w:r w:rsidRPr="008F0D97">
        <w:rPr>
          <w:rFonts w:ascii="Minion Pro" w:hAnsi="Minion Pro" w:cs="Times New Roman"/>
          <w:i/>
          <w:iCs/>
          <w:sz w:val="24"/>
          <w:szCs w:val="24"/>
          <w:lang w:val="en-US"/>
        </w:rPr>
        <w:t>Tesis</w:t>
      </w:r>
      <w:proofErr w:type="spellEnd"/>
      <w:r w:rsidRPr="008F0D97">
        <w:rPr>
          <w:rFonts w:ascii="Minion Pro" w:hAnsi="Minion Pro" w:cs="Times New Roman"/>
          <w:iCs/>
          <w:sz w:val="24"/>
          <w:szCs w:val="24"/>
          <w:lang w:val="en-US"/>
        </w:rPr>
        <w:t xml:space="preserve">. Jakarta: IAIN </w:t>
      </w:r>
      <w:proofErr w:type="spellStart"/>
      <w:r w:rsidRPr="008F0D97">
        <w:rPr>
          <w:rFonts w:ascii="Minion Pro" w:hAnsi="Minion Pro" w:cs="Times New Roman"/>
          <w:iCs/>
          <w:sz w:val="24"/>
          <w:szCs w:val="24"/>
          <w:lang w:val="en-US"/>
        </w:rPr>
        <w:t>Syarif</w:t>
      </w:r>
      <w:proofErr w:type="spellEnd"/>
      <w:r w:rsidRPr="008F0D97">
        <w:rPr>
          <w:rFonts w:ascii="Minion Pro" w:hAnsi="Minion Pro" w:cs="Times New Roman"/>
          <w:iCs/>
          <w:sz w:val="24"/>
          <w:szCs w:val="24"/>
          <w:lang w:val="en-US"/>
        </w:rPr>
        <w:t xml:space="preserve"> </w:t>
      </w:r>
      <w:proofErr w:type="spellStart"/>
      <w:r w:rsidRPr="008F0D97">
        <w:rPr>
          <w:rFonts w:ascii="Minion Pro" w:hAnsi="Minion Pro" w:cs="Times New Roman"/>
          <w:iCs/>
          <w:sz w:val="24"/>
          <w:szCs w:val="24"/>
          <w:lang w:val="en-US"/>
        </w:rPr>
        <w:t>Hidayatullah</w:t>
      </w:r>
      <w:proofErr w:type="spellEnd"/>
      <w:r w:rsidRPr="008F0D97">
        <w:rPr>
          <w:rFonts w:ascii="Minion Pro" w:hAnsi="Minion Pro" w:cs="Times New Roman"/>
          <w:iCs/>
          <w:sz w:val="24"/>
          <w:szCs w:val="24"/>
          <w:lang w:val="en-US"/>
        </w:rPr>
        <w:t>, 1998.</w:t>
      </w:r>
    </w:p>
    <w:p w14:paraId="33D6C41C" w14:textId="77777777" w:rsidR="008F0D97" w:rsidRPr="008F0D97" w:rsidRDefault="008F0D97" w:rsidP="008F0D97">
      <w:pPr>
        <w:spacing w:line="240" w:lineRule="auto"/>
        <w:ind w:left="851" w:hanging="851"/>
        <w:jc w:val="both"/>
        <w:rPr>
          <w:rFonts w:ascii="Minion Pro" w:hAnsi="Minion Pro" w:cs="Times New Roman"/>
          <w:iCs/>
          <w:sz w:val="24"/>
          <w:szCs w:val="24"/>
        </w:rPr>
      </w:pPr>
      <w:r w:rsidRPr="008F0D97">
        <w:rPr>
          <w:rFonts w:ascii="Minion Pro" w:hAnsi="Minion Pro" w:cs="Times New Roman"/>
          <w:iCs/>
          <w:sz w:val="24"/>
          <w:szCs w:val="24"/>
        </w:rPr>
        <w:t>Basid, Abd. “Bahtsul al-Masa'il dan Wacana Pemikiran Fiqh: Sebuah Studi Perkembangan Pemikiran Hukum Islam Nahdlatul Ulama Tahun 1985-1995”</w:t>
      </w:r>
      <w:r w:rsidRPr="008F0D97">
        <w:rPr>
          <w:rFonts w:ascii="Minion Pro" w:hAnsi="Minion Pro" w:cs="Times New Roman"/>
          <w:iCs/>
          <w:sz w:val="24"/>
          <w:szCs w:val="24"/>
          <w:lang w:val="en-US"/>
        </w:rPr>
        <w:t>.</w:t>
      </w:r>
      <w:r w:rsidRPr="008F0D97">
        <w:rPr>
          <w:rFonts w:ascii="Minion Pro" w:hAnsi="Minion Pro" w:cs="Times New Roman"/>
          <w:iCs/>
          <w:sz w:val="24"/>
          <w:szCs w:val="24"/>
        </w:rPr>
        <w:t xml:space="preserve"> </w:t>
      </w:r>
      <w:r w:rsidRPr="008F0D97">
        <w:rPr>
          <w:rFonts w:ascii="Minion Pro" w:hAnsi="Minion Pro" w:cs="Times New Roman"/>
          <w:i/>
          <w:iCs/>
          <w:sz w:val="24"/>
          <w:szCs w:val="24"/>
        </w:rPr>
        <w:t>Tesis</w:t>
      </w:r>
      <w:r w:rsidRPr="008F0D97">
        <w:rPr>
          <w:rFonts w:ascii="Minion Pro" w:hAnsi="Minion Pro" w:cs="Times New Roman"/>
          <w:iCs/>
          <w:sz w:val="24"/>
          <w:szCs w:val="24"/>
        </w:rPr>
        <w:t>. Surabaya: IAIN Sunan Ampel, 1999.</w:t>
      </w:r>
    </w:p>
    <w:p w14:paraId="512E3F7C" w14:textId="77777777" w:rsidR="008F0D97" w:rsidRPr="008F0D97" w:rsidRDefault="008F0D97" w:rsidP="008F0D97">
      <w:pPr>
        <w:spacing w:line="240" w:lineRule="auto"/>
        <w:ind w:left="851" w:hanging="851"/>
        <w:jc w:val="both"/>
        <w:rPr>
          <w:rFonts w:ascii="Minion Pro" w:hAnsi="Minion Pro" w:cs="Times New Roman"/>
          <w:i/>
          <w:iCs/>
          <w:sz w:val="24"/>
          <w:szCs w:val="24"/>
          <w:vertAlign w:val="superscript"/>
        </w:rPr>
      </w:pPr>
      <w:r w:rsidRPr="008F0D97">
        <w:rPr>
          <w:rFonts w:ascii="Minion Pro" w:hAnsi="Minion Pro" w:cs="Times New Roman"/>
          <w:iCs/>
          <w:sz w:val="24"/>
          <w:szCs w:val="24"/>
        </w:rPr>
        <w:t>Zahro, Ahmad</w:t>
      </w:r>
      <w:r w:rsidRPr="008F0D97">
        <w:rPr>
          <w:rFonts w:ascii="Minion Pro" w:hAnsi="Minion Pro" w:cs="Times New Roman"/>
          <w:iCs/>
          <w:sz w:val="24"/>
          <w:szCs w:val="24"/>
          <w:lang w:val="en-US"/>
        </w:rPr>
        <w:t>.</w:t>
      </w:r>
      <w:r w:rsidRPr="008F0D97">
        <w:rPr>
          <w:rFonts w:ascii="Minion Pro" w:hAnsi="Minion Pro" w:cs="Times New Roman"/>
          <w:iCs/>
          <w:sz w:val="24"/>
          <w:szCs w:val="24"/>
        </w:rPr>
        <w:t xml:space="preserve"> “Lajnah Bahtsul Masail Nahdlatul Ulama 1926-1999: Telaah Kritis terhadap Keputusan Hukum Fiqih”. </w:t>
      </w:r>
      <w:r w:rsidRPr="008F0D97">
        <w:rPr>
          <w:rFonts w:ascii="Minion Pro" w:hAnsi="Minion Pro" w:cs="Times New Roman"/>
          <w:i/>
          <w:iCs/>
          <w:sz w:val="24"/>
          <w:szCs w:val="24"/>
          <w:lang w:val="en-US"/>
        </w:rPr>
        <w:t>D</w:t>
      </w:r>
      <w:r w:rsidRPr="008F0D97">
        <w:rPr>
          <w:rFonts w:ascii="Minion Pro" w:hAnsi="Minion Pro" w:cs="Times New Roman"/>
          <w:i/>
          <w:iCs/>
          <w:sz w:val="24"/>
          <w:szCs w:val="24"/>
        </w:rPr>
        <w:t>isertasi</w:t>
      </w:r>
      <w:r w:rsidRPr="008F0D97">
        <w:rPr>
          <w:rFonts w:ascii="Minion Pro" w:hAnsi="Minion Pro" w:cs="Times New Roman"/>
          <w:iCs/>
          <w:sz w:val="24"/>
          <w:szCs w:val="24"/>
          <w:lang w:val="en-US"/>
        </w:rPr>
        <w:t xml:space="preserve">. </w:t>
      </w:r>
      <w:r w:rsidRPr="008F0D97">
        <w:rPr>
          <w:rFonts w:ascii="Minion Pro" w:hAnsi="Minion Pro" w:cs="Times New Roman"/>
          <w:iCs/>
          <w:sz w:val="24"/>
          <w:szCs w:val="24"/>
        </w:rPr>
        <w:t>Yogyakarta: IAIN Sunan Kalijaga, 2001.</w:t>
      </w:r>
    </w:p>
    <w:p w14:paraId="764665AA" w14:textId="77777777" w:rsidR="008F0D97" w:rsidRPr="008F0D97" w:rsidRDefault="008F0D97" w:rsidP="008F0D97">
      <w:pPr>
        <w:spacing w:line="240" w:lineRule="auto"/>
        <w:ind w:left="851" w:hanging="851"/>
        <w:jc w:val="both"/>
        <w:rPr>
          <w:rFonts w:ascii="Minion Pro" w:hAnsi="Minion Pro" w:cs="Times New Roman"/>
          <w:iCs/>
          <w:sz w:val="24"/>
          <w:szCs w:val="24"/>
          <w:lang w:val="en-US"/>
        </w:rPr>
      </w:pPr>
      <w:r w:rsidRPr="008F0D97">
        <w:rPr>
          <w:rFonts w:ascii="Minion Pro" w:hAnsi="Minion Pro" w:cs="Times New Roman"/>
          <w:iCs/>
          <w:sz w:val="24"/>
          <w:szCs w:val="24"/>
        </w:rPr>
        <w:t>Riza, Achmad Kemal</w:t>
      </w:r>
      <w:r w:rsidRPr="008F0D97">
        <w:rPr>
          <w:rFonts w:ascii="Minion Pro" w:hAnsi="Minion Pro" w:cs="Times New Roman"/>
          <w:iCs/>
          <w:sz w:val="24"/>
          <w:szCs w:val="24"/>
          <w:lang w:val="en-US"/>
        </w:rPr>
        <w:t>.</w:t>
      </w:r>
      <w:r w:rsidRPr="008F0D97">
        <w:rPr>
          <w:rFonts w:ascii="Minion Pro" w:hAnsi="Minion Pro" w:cs="Times New Roman"/>
          <w:iCs/>
          <w:sz w:val="24"/>
          <w:szCs w:val="24"/>
        </w:rPr>
        <w:t xml:space="preserve"> </w:t>
      </w:r>
      <w:r w:rsidRPr="008F0D97">
        <w:rPr>
          <w:rFonts w:ascii="Minion Pro" w:hAnsi="Minion Pro" w:cs="Times New Roman"/>
          <w:iCs/>
          <w:sz w:val="24"/>
          <w:szCs w:val="24"/>
          <w:lang w:val="en-US"/>
        </w:rPr>
        <w:t>“</w:t>
      </w:r>
      <w:r w:rsidRPr="008F0D97">
        <w:rPr>
          <w:rFonts w:ascii="Minion Pro" w:hAnsi="Minion Pro" w:cs="Times New Roman"/>
          <w:iCs/>
          <w:sz w:val="24"/>
          <w:szCs w:val="24"/>
        </w:rPr>
        <w:t>Continuity and Change in Islamic Law in Indonesia: The Case of Nahdlatul Ulama Bahtsul Masail in East Java</w:t>
      </w:r>
      <w:r w:rsidRPr="008F0D97">
        <w:rPr>
          <w:rFonts w:ascii="Minion Pro" w:hAnsi="Minion Pro" w:cs="Times New Roman"/>
          <w:iCs/>
          <w:sz w:val="24"/>
          <w:szCs w:val="24"/>
          <w:lang w:val="en-US"/>
        </w:rPr>
        <w:t>”.</w:t>
      </w:r>
      <w:r w:rsidRPr="008F0D97">
        <w:rPr>
          <w:rFonts w:ascii="Minion Pro" w:hAnsi="Minion Pro" w:cs="Times New Roman"/>
          <w:iCs/>
          <w:sz w:val="24"/>
          <w:szCs w:val="24"/>
        </w:rPr>
        <w:t xml:space="preserve"> </w:t>
      </w:r>
      <w:r w:rsidRPr="008F0D97">
        <w:rPr>
          <w:rFonts w:ascii="Minion Pro" w:hAnsi="Minion Pro" w:cs="Times New Roman"/>
          <w:i/>
          <w:iCs/>
          <w:sz w:val="24"/>
          <w:szCs w:val="24"/>
          <w:lang w:val="en-US"/>
        </w:rPr>
        <w:t>T</w:t>
      </w:r>
      <w:r w:rsidRPr="008F0D97">
        <w:rPr>
          <w:rFonts w:ascii="Minion Pro" w:hAnsi="Minion Pro" w:cs="Times New Roman"/>
          <w:i/>
          <w:iCs/>
          <w:sz w:val="24"/>
          <w:szCs w:val="24"/>
        </w:rPr>
        <w:t>esis</w:t>
      </w:r>
      <w:r w:rsidRPr="008F0D97">
        <w:rPr>
          <w:rFonts w:ascii="Minion Pro" w:hAnsi="Minion Pro" w:cs="Times New Roman"/>
          <w:iCs/>
          <w:sz w:val="24"/>
          <w:szCs w:val="24"/>
          <w:lang w:val="en-US"/>
        </w:rPr>
        <w:t xml:space="preserve">. </w:t>
      </w:r>
      <w:r w:rsidRPr="008F0D97">
        <w:rPr>
          <w:rFonts w:ascii="Minion Pro" w:hAnsi="Minion Pro" w:cs="Times New Roman"/>
          <w:iCs/>
          <w:sz w:val="24"/>
          <w:szCs w:val="24"/>
        </w:rPr>
        <w:t>Australia: The Australian National University, 2004.</w:t>
      </w:r>
    </w:p>
    <w:p w14:paraId="05B72100" w14:textId="77777777" w:rsidR="008F0D97" w:rsidRPr="008F0D97" w:rsidRDefault="008F0D97" w:rsidP="008F0D97">
      <w:pPr>
        <w:spacing w:line="240" w:lineRule="auto"/>
        <w:ind w:left="851" w:hanging="851"/>
        <w:jc w:val="both"/>
        <w:rPr>
          <w:rFonts w:ascii="Minion Pro" w:hAnsi="Minion Pro" w:cs="Times New Roman"/>
          <w:iCs/>
          <w:sz w:val="24"/>
          <w:szCs w:val="24"/>
          <w:lang w:val="en-ID"/>
        </w:rPr>
      </w:pPr>
      <w:proofErr w:type="spellStart"/>
      <w:r w:rsidRPr="008F0D97">
        <w:rPr>
          <w:rFonts w:ascii="Minion Pro" w:hAnsi="Minion Pro" w:cs="Times New Roman"/>
          <w:iCs/>
          <w:sz w:val="24"/>
          <w:szCs w:val="24"/>
          <w:lang w:val="en-US"/>
        </w:rPr>
        <w:t>Kholisin</w:t>
      </w:r>
      <w:proofErr w:type="spellEnd"/>
      <w:r w:rsidRPr="008F0D97">
        <w:rPr>
          <w:rFonts w:ascii="Minion Pro" w:hAnsi="Minion Pro" w:cs="Times New Roman"/>
          <w:iCs/>
          <w:sz w:val="24"/>
          <w:szCs w:val="24"/>
          <w:lang w:val="en-US"/>
        </w:rPr>
        <w:t>. “</w:t>
      </w:r>
      <w:proofErr w:type="spellStart"/>
      <w:r w:rsidRPr="008F0D97">
        <w:rPr>
          <w:rFonts w:ascii="Minion Pro" w:hAnsi="Minion Pro" w:cs="Times New Roman"/>
          <w:iCs/>
          <w:sz w:val="24"/>
          <w:szCs w:val="24"/>
          <w:lang w:val="en-US"/>
        </w:rPr>
        <w:t>Bahtsul</w:t>
      </w:r>
      <w:proofErr w:type="spellEnd"/>
      <w:r w:rsidRPr="008F0D97">
        <w:rPr>
          <w:rFonts w:ascii="Minion Pro" w:hAnsi="Minion Pro" w:cs="Times New Roman"/>
          <w:iCs/>
          <w:sz w:val="24"/>
          <w:szCs w:val="24"/>
          <w:lang w:val="en-US"/>
        </w:rPr>
        <w:t xml:space="preserve"> </w:t>
      </w:r>
      <w:proofErr w:type="spellStart"/>
      <w:r w:rsidRPr="008F0D97">
        <w:rPr>
          <w:rFonts w:ascii="Minion Pro" w:hAnsi="Minion Pro" w:cs="Times New Roman"/>
          <w:iCs/>
          <w:sz w:val="24"/>
          <w:szCs w:val="24"/>
          <w:lang w:val="en-US"/>
        </w:rPr>
        <w:t>Masail</w:t>
      </w:r>
      <w:proofErr w:type="spellEnd"/>
      <w:r w:rsidRPr="008F0D97">
        <w:rPr>
          <w:rFonts w:ascii="Minion Pro" w:hAnsi="Minion Pro" w:cs="Times New Roman"/>
          <w:iCs/>
          <w:sz w:val="24"/>
          <w:szCs w:val="24"/>
          <w:lang w:val="en-US"/>
        </w:rPr>
        <w:t xml:space="preserve">: </w:t>
      </w:r>
      <w:proofErr w:type="spellStart"/>
      <w:r w:rsidRPr="008F0D97">
        <w:rPr>
          <w:rFonts w:ascii="Minion Pro" w:hAnsi="Minion Pro" w:cs="Times New Roman"/>
          <w:iCs/>
          <w:sz w:val="24"/>
          <w:szCs w:val="24"/>
          <w:lang w:val="en-US"/>
        </w:rPr>
        <w:t>Representasi</w:t>
      </w:r>
      <w:proofErr w:type="spellEnd"/>
      <w:r w:rsidRPr="008F0D97">
        <w:rPr>
          <w:rFonts w:ascii="Minion Pro" w:hAnsi="Minion Pro" w:cs="Times New Roman"/>
          <w:iCs/>
          <w:sz w:val="24"/>
          <w:szCs w:val="24"/>
          <w:lang w:val="en-US"/>
        </w:rPr>
        <w:t xml:space="preserve"> </w:t>
      </w:r>
      <w:proofErr w:type="spellStart"/>
      <w:r w:rsidRPr="008F0D97">
        <w:rPr>
          <w:rFonts w:ascii="Minion Pro" w:hAnsi="Minion Pro" w:cs="Times New Roman"/>
          <w:iCs/>
          <w:sz w:val="24"/>
          <w:szCs w:val="24"/>
          <w:lang w:val="en-US"/>
        </w:rPr>
        <w:t>Budaya</w:t>
      </w:r>
      <w:proofErr w:type="spellEnd"/>
      <w:r w:rsidRPr="008F0D97">
        <w:rPr>
          <w:rFonts w:ascii="Minion Pro" w:hAnsi="Minion Pro" w:cs="Times New Roman"/>
          <w:iCs/>
          <w:sz w:val="24"/>
          <w:szCs w:val="24"/>
          <w:lang w:val="en-US"/>
        </w:rPr>
        <w:t xml:space="preserve"> </w:t>
      </w:r>
      <w:proofErr w:type="spellStart"/>
      <w:r w:rsidRPr="008F0D97">
        <w:rPr>
          <w:rFonts w:ascii="Minion Pro" w:hAnsi="Minion Pro" w:cs="Times New Roman"/>
          <w:iCs/>
          <w:sz w:val="24"/>
          <w:szCs w:val="24"/>
          <w:lang w:val="en-US"/>
        </w:rPr>
        <w:t>Pesantren</w:t>
      </w:r>
      <w:proofErr w:type="spellEnd"/>
      <w:r w:rsidRPr="008F0D97">
        <w:rPr>
          <w:rFonts w:ascii="Minion Pro" w:hAnsi="Minion Pro" w:cs="Times New Roman"/>
          <w:iCs/>
          <w:sz w:val="24"/>
          <w:szCs w:val="24"/>
          <w:lang w:val="en-US"/>
        </w:rPr>
        <w:t xml:space="preserve"> </w:t>
      </w:r>
      <w:proofErr w:type="spellStart"/>
      <w:r w:rsidRPr="008F0D97">
        <w:rPr>
          <w:rFonts w:ascii="Minion Pro" w:hAnsi="Minion Pro" w:cs="Times New Roman"/>
          <w:iCs/>
          <w:sz w:val="24"/>
          <w:szCs w:val="24"/>
          <w:lang w:val="en-US"/>
        </w:rPr>
        <w:t>dalam</w:t>
      </w:r>
      <w:proofErr w:type="spellEnd"/>
      <w:r w:rsidRPr="008F0D97">
        <w:rPr>
          <w:rFonts w:ascii="Minion Pro" w:hAnsi="Minion Pro" w:cs="Times New Roman"/>
          <w:iCs/>
          <w:sz w:val="24"/>
          <w:szCs w:val="24"/>
          <w:lang w:val="en-US"/>
        </w:rPr>
        <w:t xml:space="preserve"> </w:t>
      </w:r>
      <w:proofErr w:type="spellStart"/>
      <w:r w:rsidRPr="008F0D97">
        <w:rPr>
          <w:rFonts w:ascii="Minion Pro" w:hAnsi="Minion Pro" w:cs="Times New Roman"/>
          <w:iCs/>
          <w:sz w:val="24"/>
          <w:szCs w:val="24"/>
          <w:lang w:val="en-US"/>
        </w:rPr>
        <w:t>Tuturan</w:t>
      </w:r>
      <w:proofErr w:type="spellEnd"/>
      <w:r w:rsidRPr="008F0D97">
        <w:rPr>
          <w:rFonts w:ascii="Minion Pro" w:hAnsi="Minion Pro" w:cs="Times New Roman"/>
          <w:iCs/>
          <w:sz w:val="24"/>
          <w:szCs w:val="24"/>
          <w:lang w:val="en-US"/>
        </w:rPr>
        <w:t xml:space="preserve"> Masyarakat </w:t>
      </w:r>
      <w:proofErr w:type="spellStart"/>
      <w:r w:rsidRPr="008F0D97">
        <w:rPr>
          <w:rFonts w:ascii="Minion Pro" w:hAnsi="Minion Pro" w:cs="Times New Roman"/>
          <w:iCs/>
          <w:sz w:val="24"/>
          <w:szCs w:val="24"/>
          <w:lang w:val="en-US"/>
        </w:rPr>
        <w:t>Santri</w:t>
      </w:r>
      <w:proofErr w:type="spellEnd"/>
      <w:r w:rsidRPr="008F0D97">
        <w:rPr>
          <w:rFonts w:ascii="Minion Pro" w:hAnsi="Minion Pro" w:cs="Times New Roman"/>
          <w:iCs/>
          <w:sz w:val="24"/>
          <w:szCs w:val="24"/>
          <w:lang w:val="en-US"/>
        </w:rPr>
        <w:t xml:space="preserve">”. </w:t>
      </w:r>
      <w:proofErr w:type="spellStart"/>
      <w:r w:rsidRPr="008F0D97">
        <w:rPr>
          <w:rFonts w:ascii="Minion Pro" w:hAnsi="Minion Pro" w:cs="Times New Roman"/>
          <w:i/>
          <w:iCs/>
          <w:sz w:val="24"/>
          <w:szCs w:val="24"/>
          <w:lang w:val="en-US"/>
        </w:rPr>
        <w:t>Disertasi</w:t>
      </w:r>
      <w:proofErr w:type="spellEnd"/>
      <w:r w:rsidRPr="008F0D97">
        <w:rPr>
          <w:rFonts w:ascii="Minion Pro" w:hAnsi="Minion Pro" w:cs="Times New Roman"/>
          <w:iCs/>
          <w:sz w:val="24"/>
          <w:szCs w:val="24"/>
          <w:lang w:val="en-US"/>
        </w:rPr>
        <w:t>. Malang: Universitas Negeri Malang, 2010.</w:t>
      </w:r>
    </w:p>
    <w:p w14:paraId="5D79A263" w14:textId="77777777" w:rsidR="008F0D97" w:rsidRPr="008F0D97" w:rsidRDefault="008F0D97" w:rsidP="008F0D97">
      <w:pPr>
        <w:spacing w:line="240" w:lineRule="auto"/>
        <w:ind w:left="851" w:hanging="851"/>
        <w:jc w:val="both"/>
        <w:rPr>
          <w:rFonts w:ascii="Minion Pro" w:hAnsi="Minion Pro" w:cs="Times New Roman"/>
          <w:iCs/>
          <w:sz w:val="24"/>
          <w:szCs w:val="24"/>
          <w:vertAlign w:val="superscript"/>
          <w:lang w:val="en-US"/>
        </w:rPr>
      </w:pPr>
      <w:proofErr w:type="spellStart"/>
      <w:r w:rsidRPr="008F0D97">
        <w:rPr>
          <w:rFonts w:ascii="Minion Pro" w:hAnsi="Minion Pro" w:cs="Times New Roman"/>
          <w:iCs/>
          <w:sz w:val="24"/>
          <w:szCs w:val="24"/>
          <w:lang w:val="en-US"/>
        </w:rPr>
        <w:lastRenderedPageBreak/>
        <w:t>Anshor</w:t>
      </w:r>
      <w:proofErr w:type="spellEnd"/>
      <w:r w:rsidRPr="008F0D97">
        <w:rPr>
          <w:rFonts w:ascii="Minion Pro" w:hAnsi="Minion Pro" w:cs="Times New Roman"/>
          <w:iCs/>
          <w:sz w:val="24"/>
          <w:szCs w:val="24"/>
          <w:lang w:val="en-US"/>
        </w:rPr>
        <w:t xml:space="preserve">, Ahmad </w:t>
      </w:r>
      <w:proofErr w:type="spellStart"/>
      <w:r w:rsidRPr="008F0D97">
        <w:rPr>
          <w:rFonts w:ascii="Minion Pro" w:hAnsi="Minion Pro" w:cs="Times New Roman"/>
          <w:iCs/>
          <w:sz w:val="24"/>
          <w:szCs w:val="24"/>
          <w:lang w:val="en-US"/>
        </w:rPr>
        <w:t>Muhtadi</w:t>
      </w:r>
      <w:proofErr w:type="spellEnd"/>
      <w:r w:rsidRPr="008F0D97">
        <w:rPr>
          <w:rFonts w:ascii="Minion Pro" w:hAnsi="Minion Pro" w:cs="Times New Roman"/>
          <w:iCs/>
          <w:sz w:val="24"/>
          <w:szCs w:val="24"/>
          <w:lang w:val="en-US"/>
        </w:rPr>
        <w:t>. “</w:t>
      </w:r>
      <w:r w:rsidRPr="008F0D97">
        <w:rPr>
          <w:rFonts w:ascii="Minion Pro" w:hAnsi="Minion Pro" w:cs="Times New Roman"/>
          <w:i/>
          <w:iCs/>
          <w:sz w:val="24"/>
          <w:szCs w:val="24"/>
        </w:rPr>
        <w:t>Ba</w:t>
      </w:r>
      <w:r w:rsidRPr="008F0D97">
        <w:rPr>
          <w:rFonts w:ascii="Cambria" w:hAnsi="Cambria" w:cs="Cambria"/>
          <w:i/>
          <w:iCs/>
          <w:sz w:val="24"/>
          <w:szCs w:val="24"/>
        </w:rPr>
        <w:t>ḥ</w:t>
      </w:r>
      <w:r w:rsidRPr="008F0D97">
        <w:rPr>
          <w:rFonts w:ascii="Minion Pro" w:hAnsi="Minion Pro" w:cs="Times New Roman"/>
          <w:i/>
          <w:iCs/>
          <w:sz w:val="24"/>
          <w:szCs w:val="24"/>
        </w:rPr>
        <w:t xml:space="preserve">th </w:t>
      </w:r>
      <w:r w:rsidRPr="008F0D97">
        <w:rPr>
          <w:rFonts w:ascii="Minion Pro" w:hAnsi="Minion Pro" w:cs="Times New Roman"/>
          <w:i/>
          <w:iCs/>
          <w:sz w:val="24"/>
          <w:szCs w:val="24"/>
          <w:lang w:val="en-US"/>
        </w:rPr>
        <w:t>al-</w:t>
      </w:r>
      <w:proofErr w:type="spellStart"/>
      <w:r w:rsidRPr="008F0D97">
        <w:rPr>
          <w:rFonts w:ascii="Minion Pro" w:hAnsi="Minion Pro" w:cs="Times New Roman"/>
          <w:i/>
          <w:iCs/>
          <w:sz w:val="24"/>
          <w:szCs w:val="24"/>
          <w:lang w:val="en-US"/>
        </w:rPr>
        <w:t>Masā’il</w:t>
      </w:r>
      <w:proofErr w:type="spellEnd"/>
      <w:r w:rsidRPr="008F0D97">
        <w:rPr>
          <w:rFonts w:ascii="Minion Pro" w:hAnsi="Minion Pro" w:cs="Times New Roman"/>
          <w:iCs/>
          <w:sz w:val="24"/>
          <w:szCs w:val="24"/>
          <w:lang w:val="en-US"/>
        </w:rPr>
        <w:t xml:space="preserve"> </w:t>
      </w:r>
      <w:proofErr w:type="spellStart"/>
      <w:r w:rsidRPr="008F0D97">
        <w:rPr>
          <w:rFonts w:ascii="Minion Pro" w:hAnsi="Minion Pro" w:cs="Times New Roman"/>
          <w:iCs/>
          <w:sz w:val="24"/>
          <w:szCs w:val="24"/>
          <w:lang w:val="en-US"/>
        </w:rPr>
        <w:t>Pengurus</w:t>
      </w:r>
      <w:proofErr w:type="spellEnd"/>
      <w:r w:rsidRPr="008F0D97">
        <w:rPr>
          <w:rFonts w:ascii="Minion Pro" w:hAnsi="Minion Pro" w:cs="Times New Roman"/>
          <w:iCs/>
          <w:sz w:val="24"/>
          <w:szCs w:val="24"/>
          <w:lang w:val="en-US"/>
        </w:rPr>
        <w:t xml:space="preserve"> Wilayah </w:t>
      </w:r>
      <w:proofErr w:type="spellStart"/>
      <w:r w:rsidRPr="008F0D97">
        <w:rPr>
          <w:rFonts w:ascii="Minion Pro" w:hAnsi="Minion Pro" w:cs="Times New Roman"/>
          <w:iCs/>
          <w:sz w:val="24"/>
          <w:szCs w:val="24"/>
          <w:lang w:val="en-US"/>
        </w:rPr>
        <w:t>Nahdlatul</w:t>
      </w:r>
      <w:proofErr w:type="spellEnd"/>
      <w:r w:rsidRPr="008F0D97">
        <w:rPr>
          <w:rFonts w:ascii="Minion Pro" w:hAnsi="Minion Pro" w:cs="Times New Roman"/>
          <w:iCs/>
          <w:sz w:val="24"/>
          <w:szCs w:val="24"/>
          <w:lang w:val="en-US"/>
        </w:rPr>
        <w:t xml:space="preserve"> Ulama (PWNU) </w:t>
      </w:r>
      <w:proofErr w:type="spellStart"/>
      <w:r w:rsidRPr="008F0D97">
        <w:rPr>
          <w:rFonts w:ascii="Minion Pro" w:hAnsi="Minion Pro" w:cs="Times New Roman"/>
          <w:iCs/>
          <w:sz w:val="24"/>
          <w:szCs w:val="24"/>
          <w:lang w:val="en-US"/>
        </w:rPr>
        <w:t>Jawa</w:t>
      </w:r>
      <w:proofErr w:type="spellEnd"/>
      <w:r w:rsidRPr="008F0D97">
        <w:rPr>
          <w:rFonts w:ascii="Minion Pro" w:hAnsi="Minion Pro" w:cs="Times New Roman"/>
          <w:iCs/>
          <w:sz w:val="24"/>
          <w:szCs w:val="24"/>
          <w:lang w:val="en-US"/>
        </w:rPr>
        <w:t xml:space="preserve"> Timur: </w:t>
      </w:r>
      <w:proofErr w:type="spellStart"/>
      <w:r w:rsidRPr="008F0D97">
        <w:rPr>
          <w:rFonts w:ascii="Minion Pro" w:hAnsi="Minion Pro" w:cs="Times New Roman"/>
          <w:iCs/>
          <w:sz w:val="24"/>
          <w:szCs w:val="24"/>
          <w:lang w:val="en-US"/>
        </w:rPr>
        <w:t>Studi</w:t>
      </w:r>
      <w:proofErr w:type="spellEnd"/>
      <w:r w:rsidRPr="008F0D97">
        <w:rPr>
          <w:rFonts w:ascii="Minion Pro" w:hAnsi="Minion Pro" w:cs="Times New Roman"/>
          <w:iCs/>
          <w:sz w:val="24"/>
          <w:szCs w:val="24"/>
          <w:lang w:val="en-US"/>
        </w:rPr>
        <w:t xml:space="preserve"> </w:t>
      </w:r>
      <w:proofErr w:type="spellStart"/>
      <w:r w:rsidRPr="008F0D97">
        <w:rPr>
          <w:rFonts w:ascii="Minion Pro" w:hAnsi="Minion Pro" w:cs="Times New Roman"/>
          <w:iCs/>
          <w:sz w:val="24"/>
          <w:szCs w:val="24"/>
          <w:lang w:val="en-US"/>
        </w:rPr>
        <w:t>tentang</w:t>
      </w:r>
      <w:proofErr w:type="spellEnd"/>
      <w:r w:rsidRPr="008F0D97">
        <w:rPr>
          <w:rFonts w:ascii="Minion Pro" w:hAnsi="Minion Pro" w:cs="Times New Roman"/>
          <w:iCs/>
          <w:sz w:val="24"/>
          <w:szCs w:val="24"/>
          <w:lang w:val="en-US"/>
        </w:rPr>
        <w:t xml:space="preserve"> </w:t>
      </w:r>
      <w:proofErr w:type="spellStart"/>
      <w:r w:rsidRPr="008F0D97">
        <w:rPr>
          <w:rFonts w:ascii="Minion Pro" w:hAnsi="Minion Pro" w:cs="Times New Roman"/>
          <w:iCs/>
          <w:sz w:val="24"/>
          <w:szCs w:val="24"/>
          <w:lang w:val="en-US"/>
        </w:rPr>
        <w:t>Dinamika</w:t>
      </w:r>
      <w:proofErr w:type="spellEnd"/>
      <w:r w:rsidRPr="008F0D97">
        <w:rPr>
          <w:rFonts w:ascii="Minion Pro" w:hAnsi="Minion Pro" w:cs="Times New Roman"/>
          <w:iCs/>
          <w:sz w:val="24"/>
          <w:szCs w:val="24"/>
          <w:lang w:val="en-US"/>
        </w:rPr>
        <w:t xml:space="preserve"> </w:t>
      </w:r>
      <w:proofErr w:type="spellStart"/>
      <w:r w:rsidRPr="008F0D97">
        <w:rPr>
          <w:rFonts w:ascii="Minion Pro" w:hAnsi="Minion Pro" w:cs="Times New Roman"/>
          <w:iCs/>
          <w:sz w:val="24"/>
          <w:szCs w:val="24"/>
          <w:lang w:val="en-US"/>
        </w:rPr>
        <w:t>Bermadhhab</w:t>
      </w:r>
      <w:proofErr w:type="spellEnd"/>
      <w:r w:rsidRPr="008F0D97">
        <w:rPr>
          <w:rFonts w:ascii="Minion Pro" w:hAnsi="Minion Pro" w:cs="Times New Roman"/>
          <w:iCs/>
          <w:sz w:val="24"/>
          <w:szCs w:val="24"/>
          <w:lang w:val="en-US"/>
        </w:rPr>
        <w:t xml:space="preserve">”. </w:t>
      </w:r>
      <w:proofErr w:type="spellStart"/>
      <w:r w:rsidRPr="008F0D97">
        <w:rPr>
          <w:rFonts w:ascii="Minion Pro" w:hAnsi="Minion Pro" w:cs="Times New Roman"/>
          <w:i/>
          <w:iCs/>
          <w:sz w:val="24"/>
          <w:szCs w:val="24"/>
          <w:lang w:val="en-US"/>
        </w:rPr>
        <w:t>Disertasi</w:t>
      </w:r>
      <w:proofErr w:type="spellEnd"/>
      <w:r w:rsidRPr="008F0D97">
        <w:rPr>
          <w:rFonts w:ascii="Minion Pro" w:hAnsi="Minion Pro" w:cs="Times New Roman"/>
          <w:iCs/>
          <w:sz w:val="24"/>
          <w:szCs w:val="24"/>
          <w:lang w:val="en-US"/>
        </w:rPr>
        <w:t xml:space="preserve">. Surabaya: IAIN </w:t>
      </w:r>
      <w:proofErr w:type="spellStart"/>
      <w:r w:rsidRPr="008F0D97">
        <w:rPr>
          <w:rFonts w:ascii="Minion Pro" w:hAnsi="Minion Pro" w:cs="Times New Roman"/>
          <w:iCs/>
          <w:sz w:val="24"/>
          <w:szCs w:val="24"/>
          <w:lang w:val="en-US"/>
        </w:rPr>
        <w:t>Sunan</w:t>
      </w:r>
      <w:proofErr w:type="spellEnd"/>
      <w:r w:rsidRPr="008F0D97">
        <w:rPr>
          <w:rFonts w:ascii="Minion Pro" w:hAnsi="Minion Pro" w:cs="Times New Roman"/>
          <w:iCs/>
          <w:sz w:val="24"/>
          <w:szCs w:val="24"/>
          <w:lang w:val="en-US"/>
        </w:rPr>
        <w:t xml:space="preserve"> </w:t>
      </w:r>
      <w:proofErr w:type="spellStart"/>
      <w:r w:rsidRPr="008F0D97">
        <w:rPr>
          <w:rFonts w:ascii="Minion Pro" w:hAnsi="Minion Pro" w:cs="Times New Roman"/>
          <w:iCs/>
          <w:sz w:val="24"/>
          <w:szCs w:val="24"/>
          <w:lang w:val="en-US"/>
        </w:rPr>
        <w:t>Ampel</w:t>
      </w:r>
      <w:proofErr w:type="spellEnd"/>
      <w:r w:rsidRPr="008F0D97">
        <w:rPr>
          <w:rFonts w:ascii="Minion Pro" w:hAnsi="Minion Pro" w:cs="Times New Roman"/>
          <w:iCs/>
          <w:sz w:val="24"/>
          <w:szCs w:val="24"/>
          <w:lang w:val="en-US"/>
        </w:rPr>
        <w:t>, 2011.</w:t>
      </w:r>
    </w:p>
    <w:p w14:paraId="1E57A24F" w14:textId="77777777" w:rsidR="008F0D97" w:rsidRPr="008F0D97" w:rsidRDefault="008F0D97" w:rsidP="008F0D97">
      <w:pPr>
        <w:spacing w:line="240" w:lineRule="auto"/>
        <w:ind w:left="851" w:hanging="851"/>
        <w:jc w:val="both"/>
        <w:rPr>
          <w:rFonts w:ascii="Minion Pro" w:hAnsi="Minion Pro" w:cs="Times New Roman"/>
          <w:iCs/>
          <w:sz w:val="24"/>
          <w:szCs w:val="24"/>
          <w:vertAlign w:val="superscript"/>
          <w:lang w:val="en-US"/>
        </w:rPr>
      </w:pPr>
      <w:proofErr w:type="spellStart"/>
      <w:r w:rsidRPr="008F0D97">
        <w:rPr>
          <w:rFonts w:ascii="Minion Pro" w:hAnsi="Minion Pro" w:cs="Times New Roman"/>
          <w:iCs/>
          <w:sz w:val="24"/>
          <w:szCs w:val="24"/>
          <w:lang w:val="en-US"/>
        </w:rPr>
        <w:t>Mahsun</w:t>
      </w:r>
      <w:proofErr w:type="spellEnd"/>
      <w:r w:rsidRPr="008F0D97">
        <w:rPr>
          <w:rFonts w:ascii="Minion Pro" w:hAnsi="Minion Pro" w:cs="Times New Roman"/>
          <w:iCs/>
          <w:sz w:val="24"/>
          <w:szCs w:val="24"/>
          <w:lang w:val="en-US"/>
        </w:rPr>
        <w:t xml:space="preserve">. </w:t>
      </w:r>
      <w:proofErr w:type="spellStart"/>
      <w:r w:rsidRPr="008F0D97">
        <w:rPr>
          <w:rFonts w:ascii="Minion Pro" w:hAnsi="Minion Pro" w:cs="Times New Roman"/>
          <w:i/>
          <w:iCs/>
          <w:sz w:val="24"/>
          <w:szCs w:val="24"/>
          <w:lang w:val="en-US"/>
        </w:rPr>
        <w:t>Mazhab</w:t>
      </w:r>
      <w:proofErr w:type="spellEnd"/>
      <w:r w:rsidRPr="008F0D97">
        <w:rPr>
          <w:rFonts w:ascii="Minion Pro" w:hAnsi="Minion Pro" w:cs="Times New Roman"/>
          <w:i/>
          <w:iCs/>
          <w:sz w:val="24"/>
          <w:szCs w:val="24"/>
          <w:lang w:val="en-US"/>
        </w:rPr>
        <w:t xml:space="preserve"> NU </w:t>
      </w:r>
      <w:proofErr w:type="spellStart"/>
      <w:r w:rsidRPr="008F0D97">
        <w:rPr>
          <w:rFonts w:ascii="Minion Pro" w:hAnsi="Minion Pro" w:cs="Times New Roman"/>
          <w:i/>
          <w:iCs/>
          <w:sz w:val="24"/>
          <w:szCs w:val="24"/>
          <w:lang w:val="en-US"/>
        </w:rPr>
        <w:t>Mazhab</w:t>
      </w:r>
      <w:proofErr w:type="spellEnd"/>
      <w:r w:rsidRPr="008F0D97">
        <w:rPr>
          <w:rFonts w:ascii="Minion Pro" w:hAnsi="Minion Pro" w:cs="Times New Roman"/>
          <w:i/>
          <w:iCs/>
          <w:sz w:val="24"/>
          <w:szCs w:val="24"/>
          <w:lang w:val="en-US"/>
        </w:rPr>
        <w:t xml:space="preserve"> </w:t>
      </w:r>
      <w:proofErr w:type="spellStart"/>
      <w:r w:rsidRPr="008F0D97">
        <w:rPr>
          <w:rFonts w:ascii="Minion Pro" w:hAnsi="Minion Pro" w:cs="Times New Roman"/>
          <w:i/>
          <w:iCs/>
          <w:sz w:val="24"/>
          <w:szCs w:val="24"/>
          <w:lang w:val="en-US"/>
        </w:rPr>
        <w:t>Kritis</w:t>
      </w:r>
      <w:proofErr w:type="spellEnd"/>
      <w:r w:rsidRPr="008F0D97">
        <w:rPr>
          <w:rFonts w:ascii="Minion Pro" w:hAnsi="Minion Pro" w:cs="Times New Roman"/>
          <w:i/>
          <w:iCs/>
          <w:sz w:val="24"/>
          <w:szCs w:val="24"/>
          <w:lang w:val="en-US"/>
        </w:rPr>
        <w:t xml:space="preserve">: </w:t>
      </w:r>
      <w:proofErr w:type="spellStart"/>
      <w:r w:rsidRPr="008F0D97">
        <w:rPr>
          <w:rFonts w:ascii="Minion Pro" w:hAnsi="Minion Pro" w:cs="Times New Roman"/>
          <w:i/>
          <w:iCs/>
          <w:sz w:val="24"/>
          <w:szCs w:val="24"/>
          <w:lang w:val="en-US"/>
        </w:rPr>
        <w:t>Bermazhab</w:t>
      </w:r>
      <w:proofErr w:type="spellEnd"/>
      <w:r w:rsidRPr="008F0D97">
        <w:rPr>
          <w:rFonts w:ascii="Minion Pro" w:hAnsi="Minion Pro" w:cs="Times New Roman"/>
          <w:i/>
          <w:iCs/>
          <w:sz w:val="24"/>
          <w:szCs w:val="24"/>
          <w:lang w:val="en-US"/>
        </w:rPr>
        <w:t xml:space="preserve"> </w:t>
      </w:r>
      <w:proofErr w:type="spellStart"/>
      <w:r w:rsidRPr="008F0D97">
        <w:rPr>
          <w:rFonts w:ascii="Minion Pro" w:hAnsi="Minion Pro" w:cs="Times New Roman"/>
          <w:i/>
          <w:iCs/>
          <w:sz w:val="24"/>
          <w:szCs w:val="24"/>
          <w:lang w:val="en-US"/>
        </w:rPr>
        <w:t>secara</w:t>
      </w:r>
      <w:proofErr w:type="spellEnd"/>
      <w:r w:rsidRPr="008F0D97">
        <w:rPr>
          <w:rFonts w:ascii="Minion Pro" w:hAnsi="Minion Pro" w:cs="Times New Roman"/>
          <w:i/>
          <w:iCs/>
          <w:sz w:val="24"/>
          <w:szCs w:val="24"/>
          <w:lang w:val="en-US"/>
        </w:rPr>
        <w:t xml:space="preserve"> </w:t>
      </w:r>
      <w:proofErr w:type="spellStart"/>
      <w:r w:rsidRPr="008F0D97">
        <w:rPr>
          <w:rFonts w:ascii="Minion Pro" w:hAnsi="Minion Pro" w:cs="Times New Roman"/>
          <w:i/>
          <w:iCs/>
          <w:sz w:val="24"/>
          <w:szCs w:val="24"/>
          <w:lang w:val="en-US"/>
        </w:rPr>
        <w:t>Manhajiy</w:t>
      </w:r>
      <w:proofErr w:type="spellEnd"/>
      <w:r w:rsidRPr="008F0D97">
        <w:rPr>
          <w:rFonts w:ascii="Minion Pro" w:hAnsi="Minion Pro" w:cs="Times New Roman"/>
          <w:i/>
          <w:iCs/>
          <w:sz w:val="24"/>
          <w:szCs w:val="24"/>
          <w:lang w:val="en-US"/>
        </w:rPr>
        <w:t xml:space="preserve"> dan </w:t>
      </w:r>
      <w:proofErr w:type="spellStart"/>
      <w:r w:rsidRPr="008F0D97">
        <w:rPr>
          <w:rFonts w:ascii="Minion Pro" w:hAnsi="Minion Pro" w:cs="Times New Roman"/>
          <w:i/>
          <w:iCs/>
          <w:sz w:val="24"/>
          <w:szCs w:val="24"/>
          <w:lang w:val="en-US"/>
        </w:rPr>
        <w:t>Implementasinya</w:t>
      </w:r>
      <w:proofErr w:type="spellEnd"/>
      <w:r w:rsidRPr="008F0D97">
        <w:rPr>
          <w:rFonts w:ascii="Minion Pro" w:hAnsi="Minion Pro" w:cs="Times New Roman"/>
          <w:i/>
          <w:iCs/>
          <w:sz w:val="24"/>
          <w:szCs w:val="24"/>
          <w:lang w:val="en-US"/>
        </w:rPr>
        <w:t xml:space="preserve"> </w:t>
      </w:r>
      <w:proofErr w:type="spellStart"/>
      <w:r w:rsidRPr="008F0D97">
        <w:rPr>
          <w:rFonts w:ascii="Minion Pro" w:hAnsi="Minion Pro" w:cs="Times New Roman"/>
          <w:i/>
          <w:iCs/>
          <w:sz w:val="24"/>
          <w:szCs w:val="24"/>
          <w:lang w:val="en-US"/>
        </w:rPr>
        <w:t>dalam</w:t>
      </w:r>
      <w:proofErr w:type="spellEnd"/>
      <w:r w:rsidRPr="008F0D97">
        <w:rPr>
          <w:rFonts w:ascii="Minion Pro" w:hAnsi="Minion Pro" w:cs="Times New Roman"/>
          <w:i/>
          <w:iCs/>
          <w:sz w:val="24"/>
          <w:szCs w:val="24"/>
          <w:lang w:val="en-US"/>
        </w:rPr>
        <w:t xml:space="preserve"> </w:t>
      </w:r>
      <w:proofErr w:type="spellStart"/>
      <w:r w:rsidRPr="008F0D97">
        <w:rPr>
          <w:rFonts w:ascii="Minion Pro" w:hAnsi="Minion Pro" w:cs="Times New Roman"/>
          <w:i/>
          <w:iCs/>
          <w:sz w:val="24"/>
          <w:szCs w:val="24"/>
          <w:lang w:val="en-US"/>
        </w:rPr>
        <w:t>Bahtsul</w:t>
      </w:r>
      <w:proofErr w:type="spellEnd"/>
      <w:r w:rsidRPr="008F0D97">
        <w:rPr>
          <w:rFonts w:ascii="Minion Pro" w:hAnsi="Minion Pro" w:cs="Times New Roman"/>
          <w:i/>
          <w:iCs/>
          <w:sz w:val="24"/>
          <w:szCs w:val="24"/>
          <w:lang w:val="en-US"/>
        </w:rPr>
        <w:t xml:space="preserve"> </w:t>
      </w:r>
      <w:proofErr w:type="spellStart"/>
      <w:r w:rsidRPr="008F0D97">
        <w:rPr>
          <w:rFonts w:ascii="Minion Pro" w:hAnsi="Minion Pro" w:cs="Times New Roman"/>
          <w:i/>
          <w:iCs/>
          <w:sz w:val="24"/>
          <w:szCs w:val="24"/>
          <w:lang w:val="en-US"/>
        </w:rPr>
        <w:t>Masail</w:t>
      </w:r>
      <w:proofErr w:type="spellEnd"/>
      <w:r w:rsidRPr="008F0D97">
        <w:rPr>
          <w:rFonts w:ascii="Minion Pro" w:hAnsi="Minion Pro" w:cs="Times New Roman"/>
          <w:i/>
          <w:iCs/>
          <w:sz w:val="24"/>
          <w:szCs w:val="24"/>
          <w:lang w:val="en-US"/>
        </w:rPr>
        <w:t xml:space="preserve"> </w:t>
      </w:r>
      <w:proofErr w:type="spellStart"/>
      <w:r w:rsidRPr="008F0D97">
        <w:rPr>
          <w:rFonts w:ascii="Minion Pro" w:hAnsi="Minion Pro" w:cs="Times New Roman"/>
          <w:i/>
          <w:iCs/>
          <w:sz w:val="24"/>
          <w:szCs w:val="24"/>
          <w:lang w:val="en-US"/>
        </w:rPr>
        <w:t>Nahdlatul</w:t>
      </w:r>
      <w:proofErr w:type="spellEnd"/>
      <w:r w:rsidRPr="008F0D97">
        <w:rPr>
          <w:rFonts w:ascii="Minion Pro" w:hAnsi="Minion Pro" w:cs="Times New Roman"/>
          <w:i/>
          <w:iCs/>
          <w:sz w:val="24"/>
          <w:szCs w:val="24"/>
          <w:lang w:val="en-US"/>
        </w:rPr>
        <w:t xml:space="preserve"> Ulama</w:t>
      </w:r>
      <w:r w:rsidRPr="008F0D97">
        <w:rPr>
          <w:rFonts w:ascii="Minion Pro" w:hAnsi="Minion Pro" w:cs="Times New Roman"/>
          <w:iCs/>
          <w:sz w:val="24"/>
          <w:szCs w:val="24"/>
          <w:lang w:val="en-US"/>
        </w:rPr>
        <w:t xml:space="preserve">. </w:t>
      </w:r>
      <w:proofErr w:type="spellStart"/>
      <w:r w:rsidRPr="008F0D97">
        <w:rPr>
          <w:rFonts w:ascii="Minion Pro" w:hAnsi="Minion Pro" w:cs="Times New Roman"/>
          <w:iCs/>
          <w:sz w:val="24"/>
          <w:szCs w:val="24"/>
          <w:lang w:val="en-US"/>
        </w:rPr>
        <w:t>Ctk</w:t>
      </w:r>
      <w:proofErr w:type="spellEnd"/>
      <w:r w:rsidRPr="008F0D97">
        <w:rPr>
          <w:rFonts w:ascii="Minion Pro" w:hAnsi="Minion Pro" w:cs="Times New Roman"/>
          <w:iCs/>
          <w:sz w:val="24"/>
          <w:szCs w:val="24"/>
          <w:lang w:val="en-US"/>
        </w:rPr>
        <w:t xml:space="preserve">. I. Depok: </w:t>
      </w:r>
      <w:proofErr w:type="spellStart"/>
      <w:r w:rsidRPr="008F0D97">
        <w:rPr>
          <w:rFonts w:ascii="Minion Pro" w:hAnsi="Minion Pro" w:cs="Times New Roman"/>
          <w:iCs/>
          <w:sz w:val="24"/>
          <w:szCs w:val="24"/>
          <w:lang w:val="en-US"/>
        </w:rPr>
        <w:t>Nadi</w:t>
      </w:r>
      <w:proofErr w:type="spellEnd"/>
      <w:r w:rsidRPr="008F0D97">
        <w:rPr>
          <w:rFonts w:ascii="Minion Pro" w:hAnsi="Minion Pro" w:cs="Times New Roman"/>
          <w:iCs/>
          <w:sz w:val="24"/>
          <w:szCs w:val="24"/>
          <w:lang w:val="en-US"/>
        </w:rPr>
        <w:t xml:space="preserve"> Pustaka, 2015.</w:t>
      </w:r>
    </w:p>
    <w:p w14:paraId="22FA6B38" w14:textId="77777777" w:rsidR="008F0D97" w:rsidRPr="008F0D97" w:rsidRDefault="008F0D97" w:rsidP="008F0D97">
      <w:pPr>
        <w:spacing w:line="240" w:lineRule="auto"/>
        <w:ind w:left="851" w:hanging="851"/>
        <w:jc w:val="both"/>
        <w:rPr>
          <w:rFonts w:ascii="Minion Pro" w:hAnsi="Minion Pro" w:cs="Times New Roman"/>
          <w:iCs/>
          <w:sz w:val="24"/>
          <w:szCs w:val="24"/>
          <w:lang w:val="en-US"/>
        </w:rPr>
      </w:pPr>
      <w:proofErr w:type="spellStart"/>
      <w:r w:rsidRPr="008F0D97">
        <w:rPr>
          <w:rFonts w:ascii="Minion Pro" w:hAnsi="Minion Pro" w:cs="Times New Roman"/>
          <w:iCs/>
          <w:sz w:val="24"/>
          <w:szCs w:val="24"/>
          <w:lang w:val="en-US"/>
        </w:rPr>
        <w:t>Yuniarto</w:t>
      </w:r>
      <w:proofErr w:type="spellEnd"/>
      <w:r w:rsidRPr="008F0D97">
        <w:rPr>
          <w:rFonts w:ascii="Minion Pro" w:hAnsi="Minion Pro" w:cs="Times New Roman"/>
          <w:iCs/>
          <w:sz w:val="24"/>
          <w:szCs w:val="24"/>
          <w:lang w:val="en-US"/>
        </w:rPr>
        <w:t xml:space="preserve">, M. </w:t>
      </w:r>
      <w:proofErr w:type="spellStart"/>
      <w:r w:rsidRPr="008F0D97">
        <w:rPr>
          <w:rFonts w:ascii="Minion Pro" w:hAnsi="Minion Pro" w:cs="Times New Roman"/>
          <w:iCs/>
          <w:sz w:val="24"/>
          <w:szCs w:val="24"/>
          <w:lang w:val="en-US"/>
        </w:rPr>
        <w:t>Afif</w:t>
      </w:r>
      <w:proofErr w:type="spellEnd"/>
      <w:r w:rsidRPr="008F0D97">
        <w:rPr>
          <w:rFonts w:ascii="Minion Pro" w:hAnsi="Minion Pro" w:cs="Times New Roman"/>
          <w:iCs/>
          <w:sz w:val="24"/>
          <w:szCs w:val="24"/>
          <w:lang w:val="en-US"/>
        </w:rPr>
        <w:t>. “</w:t>
      </w:r>
      <w:proofErr w:type="spellStart"/>
      <w:r w:rsidRPr="008F0D97">
        <w:rPr>
          <w:rFonts w:ascii="Minion Pro" w:hAnsi="Minion Pro" w:cs="Times New Roman"/>
          <w:iCs/>
          <w:sz w:val="24"/>
          <w:szCs w:val="24"/>
          <w:lang w:val="en-US"/>
        </w:rPr>
        <w:t>Metode</w:t>
      </w:r>
      <w:proofErr w:type="spellEnd"/>
      <w:r w:rsidRPr="008F0D97">
        <w:rPr>
          <w:rFonts w:ascii="Minion Pro" w:hAnsi="Minion Pro" w:cs="Times New Roman"/>
          <w:iCs/>
          <w:sz w:val="24"/>
          <w:szCs w:val="24"/>
          <w:lang w:val="en-US"/>
        </w:rPr>
        <w:t xml:space="preserve"> </w:t>
      </w:r>
      <w:proofErr w:type="spellStart"/>
      <w:r w:rsidRPr="008F0D97">
        <w:rPr>
          <w:rFonts w:ascii="Minion Pro" w:hAnsi="Minion Pro" w:cs="Times New Roman"/>
          <w:iCs/>
          <w:sz w:val="24"/>
          <w:szCs w:val="24"/>
          <w:lang w:val="en-US"/>
        </w:rPr>
        <w:t>Mazhab</w:t>
      </w:r>
      <w:proofErr w:type="spellEnd"/>
      <w:r w:rsidRPr="008F0D97">
        <w:rPr>
          <w:rFonts w:ascii="Minion Pro" w:hAnsi="Minion Pro" w:cs="Times New Roman"/>
          <w:iCs/>
          <w:sz w:val="24"/>
          <w:szCs w:val="24"/>
          <w:lang w:val="en-US"/>
        </w:rPr>
        <w:t xml:space="preserve"> </w:t>
      </w:r>
      <w:proofErr w:type="spellStart"/>
      <w:r w:rsidRPr="008F0D97">
        <w:rPr>
          <w:rFonts w:ascii="Minion Pro" w:hAnsi="Minion Pro" w:cs="Times New Roman"/>
          <w:i/>
          <w:iCs/>
          <w:sz w:val="24"/>
          <w:szCs w:val="24"/>
          <w:lang w:val="en-US"/>
        </w:rPr>
        <w:t>Manhajī</w:t>
      </w:r>
      <w:proofErr w:type="spellEnd"/>
      <w:r w:rsidRPr="008F0D97">
        <w:rPr>
          <w:rFonts w:ascii="Minion Pro" w:hAnsi="Minion Pro" w:cs="Times New Roman"/>
          <w:iCs/>
          <w:sz w:val="24"/>
          <w:szCs w:val="24"/>
          <w:lang w:val="en-US"/>
        </w:rPr>
        <w:t xml:space="preserve"> </w:t>
      </w:r>
      <w:proofErr w:type="spellStart"/>
      <w:r w:rsidRPr="008F0D97">
        <w:rPr>
          <w:rFonts w:ascii="Minion Pro" w:hAnsi="Minion Pro" w:cs="Times New Roman"/>
          <w:iCs/>
          <w:sz w:val="24"/>
          <w:szCs w:val="24"/>
          <w:lang w:val="en-US"/>
        </w:rPr>
        <w:t>Nahdlatul</w:t>
      </w:r>
      <w:proofErr w:type="spellEnd"/>
      <w:r w:rsidRPr="008F0D97">
        <w:rPr>
          <w:rFonts w:ascii="Minion Pro" w:hAnsi="Minion Pro" w:cs="Times New Roman"/>
          <w:iCs/>
          <w:sz w:val="24"/>
          <w:szCs w:val="24"/>
          <w:lang w:val="en-US"/>
        </w:rPr>
        <w:t xml:space="preserve"> Ulama: </w:t>
      </w:r>
      <w:proofErr w:type="spellStart"/>
      <w:r w:rsidRPr="008F0D97">
        <w:rPr>
          <w:rFonts w:ascii="Minion Pro" w:hAnsi="Minion Pro" w:cs="Times New Roman"/>
          <w:iCs/>
          <w:sz w:val="24"/>
          <w:szCs w:val="24"/>
          <w:lang w:val="en-US"/>
        </w:rPr>
        <w:t>Studi</w:t>
      </w:r>
      <w:proofErr w:type="spellEnd"/>
      <w:r w:rsidRPr="008F0D97">
        <w:rPr>
          <w:rFonts w:ascii="Minion Pro" w:hAnsi="Minion Pro" w:cs="Times New Roman"/>
          <w:iCs/>
          <w:sz w:val="24"/>
          <w:szCs w:val="24"/>
          <w:lang w:val="en-US"/>
        </w:rPr>
        <w:t xml:space="preserve"> </w:t>
      </w:r>
      <w:proofErr w:type="spellStart"/>
      <w:r w:rsidRPr="008F0D97">
        <w:rPr>
          <w:rFonts w:ascii="Minion Pro" w:hAnsi="Minion Pro" w:cs="Times New Roman"/>
          <w:iCs/>
          <w:sz w:val="24"/>
          <w:szCs w:val="24"/>
          <w:lang w:val="en-US"/>
        </w:rPr>
        <w:t>Pandangan</w:t>
      </w:r>
      <w:proofErr w:type="spellEnd"/>
      <w:r w:rsidRPr="008F0D97">
        <w:rPr>
          <w:rFonts w:ascii="Minion Pro" w:hAnsi="Minion Pro" w:cs="Times New Roman"/>
          <w:iCs/>
          <w:sz w:val="24"/>
          <w:szCs w:val="24"/>
          <w:lang w:val="en-US"/>
        </w:rPr>
        <w:t xml:space="preserve"> </w:t>
      </w:r>
      <w:proofErr w:type="spellStart"/>
      <w:r w:rsidRPr="008F0D97">
        <w:rPr>
          <w:rFonts w:ascii="Minion Pro" w:hAnsi="Minion Pro" w:cs="Times New Roman"/>
          <w:iCs/>
          <w:sz w:val="24"/>
          <w:szCs w:val="24"/>
          <w:lang w:val="en-US"/>
        </w:rPr>
        <w:t>Aktivis</w:t>
      </w:r>
      <w:proofErr w:type="spellEnd"/>
      <w:r w:rsidRPr="008F0D97">
        <w:rPr>
          <w:rFonts w:ascii="Minion Pro" w:hAnsi="Minion Pro" w:cs="Times New Roman"/>
          <w:iCs/>
          <w:sz w:val="24"/>
          <w:szCs w:val="24"/>
          <w:lang w:val="en-US"/>
        </w:rPr>
        <w:t xml:space="preserve"> </w:t>
      </w:r>
      <w:proofErr w:type="spellStart"/>
      <w:r w:rsidRPr="008F0D97">
        <w:rPr>
          <w:rFonts w:ascii="Minion Pro" w:hAnsi="Minion Pro" w:cs="Times New Roman"/>
          <w:iCs/>
          <w:sz w:val="24"/>
          <w:szCs w:val="24"/>
          <w:lang w:val="en-US"/>
        </w:rPr>
        <w:t>Bahtsul</w:t>
      </w:r>
      <w:proofErr w:type="spellEnd"/>
      <w:r w:rsidRPr="008F0D97">
        <w:rPr>
          <w:rFonts w:ascii="Minion Pro" w:hAnsi="Minion Pro" w:cs="Times New Roman"/>
          <w:iCs/>
          <w:sz w:val="24"/>
          <w:szCs w:val="24"/>
          <w:lang w:val="en-US"/>
        </w:rPr>
        <w:t xml:space="preserve"> </w:t>
      </w:r>
      <w:proofErr w:type="spellStart"/>
      <w:r w:rsidRPr="008F0D97">
        <w:rPr>
          <w:rFonts w:ascii="Minion Pro" w:hAnsi="Minion Pro" w:cs="Times New Roman"/>
          <w:iCs/>
          <w:sz w:val="24"/>
          <w:szCs w:val="24"/>
          <w:lang w:val="en-US"/>
        </w:rPr>
        <w:t>Masail</w:t>
      </w:r>
      <w:proofErr w:type="spellEnd"/>
      <w:r w:rsidRPr="008F0D97">
        <w:rPr>
          <w:rFonts w:ascii="Minion Pro" w:hAnsi="Minion Pro" w:cs="Times New Roman"/>
          <w:iCs/>
          <w:sz w:val="24"/>
          <w:szCs w:val="24"/>
          <w:lang w:val="en-US"/>
        </w:rPr>
        <w:t xml:space="preserve"> </w:t>
      </w:r>
      <w:proofErr w:type="spellStart"/>
      <w:r w:rsidRPr="008F0D97">
        <w:rPr>
          <w:rFonts w:ascii="Minion Pro" w:hAnsi="Minion Pro" w:cs="Times New Roman"/>
          <w:iCs/>
          <w:sz w:val="24"/>
          <w:szCs w:val="24"/>
          <w:lang w:val="en-US"/>
        </w:rPr>
        <w:t>Jawa</w:t>
      </w:r>
      <w:proofErr w:type="spellEnd"/>
      <w:r w:rsidRPr="008F0D97">
        <w:rPr>
          <w:rFonts w:ascii="Minion Pro" w:hAnsi="Minion Pro" w:cs="Times New Roman"/>
          <w:iCs/>
          <w:sz w:val="24"/>
          <w:szCs w:val="24"/>
          <w:lang w:val="en-US"/>
        </w:rPr>
        <w:t xml:space="preserve"> Timur </w:t>
      </w:r>
      <w:proofErr w:type="spellStart"/>
      <w:r w:rsidRPr="008F0D97">
        <w:rPr>
          <w:rFonts w:ascii="Minion Pro" w:hAnsi="Minion Pro" w:cs="Times New Roman"/>
          <w:iCs/>
          <w:sz w:val="24"/>
          <w:szCs w:val="24"/>
          <w:lang w:val="en-US"/>
        </w:rPr>
        <w:t>tentang</w:t>
      </w:r>
      <w:proofErr w:type="spellEnd"/>
      <w:r w:rsidRPr="008F0D97">
        <w:rPr>
          <w:rFonts w:ascii="Minion Pro" w:hAnsi="Minion Pro" w:cs="Times New Roman"/>
          <w:iCs/>
          <w:sz w:val="24"/>
          <w:szCs w:val="24"/>
          <w:lang w:val="en-US"/>
        </w:rPr>
        <w:t xml:space="preserve"> </w:t>
      </w:r>
      <w:proofErr w:type="spellStart"/>
      <w:r w:rsidRPr="008F0D97">
        <w:rPr>
          <w:rFonts w:ascii="Minion Pro" w:hAnsi="Minion Pro" w:cs="Times New Roman"/>
          <w:iCs/>
          <w:sz w:val="24"/>
          <w:szCs w:val="24"/>
          <w:lang w:val="en-US"/>
        </w:rPr>
        <w:t>Metode</w:t>
      </w:r>
      <w:proofErr w:type="spellEnd"/>
      <w:r w:rsidRPr="008F0D97">
        <w:rPr>
          <w:rFonts w:ascii="Minion Pro" w:hAnsi="Minion Pro" w:cs="Times New Roman"/>
          <w:iCs/>
          <w:sz w:val="24"/>
          <w:szCs w:val="24"/>
          <w:lang w:val="en-US"/>
        </w:rPr>
        <w:t xml:space="preserve"> </w:t>
      </w:r>
      <w:proofErr w:type="spellStart"/>
      <w:r w:rsidRPr="008F0D97">
        <w:rPr>
          <w:rFonts w:ascii="Minion Pro" w:hAnsi="Minion Pro" w:cs="Times New Roman"/>
          <w:i/>
          <w:iCs/>
          <w:sz w:val="24"/>
          <w:szCs w:val="24"/>
          <w:lang w:val="en-US"/>
        </w:rPr>
        <w:t>Istinbāt</w:t>
      </w:r>
      <w:proofErr w:type="spellEnd"/>
      <w:r w:rsidRPr="008F0D97">
        <w:rPr>
          <w:rFonts w:ascii="Minion Pro" w:hAnsi="Minion Pro" w:cs="Times New Roman"/>
          <w:i/>
          <w:iCs/>
          <w:sz w:val="24"/>
          <w:szCs w:val="24"/>
          <w:lang w:val="en-US"/>
        </w:rPr>
        <w:t xml:space="preserve"> al-</w:t>
      </w:r>
      <w:proofErr w:type="spellStart"/>
      <w:r w:rsidRPr="008F0D97">
        <w:rPr>
          <w:rFonts w:ascii="Minion Pro" w:hAnsi="Minion Pro" w:cs="Times New Roman"/>
          <w:i/>
          <w:iCs/>
          <w:sz w:val="24"/>
          <w:szCs w:val="24"/>
          <w:lang w:val="en-US"/>
        </w:rPr>
        <w:t>A</w:t>
      </w:r>
      <w:r w:rsidRPr="008F0D97">
        <w:rPr>
          <w:rFonts w:ascii="Cambria" w:hAnsi="Cambria" w:cs="Cambria"/>
          <w:i/>
          <w:iCs/>
          <w:sz w:val="24"/>
          <w:szCs w:val="24"/>
          <w:lang w:val="en-US"/>
        </w:rPr>
        <w:t>ḥ</w:t>
      </w:r>
      <w:r w:rsidRPr="008F0D97">
        <w:rPr>
          <w:rFonts w:ascii="Minion Pro" w:hAnsi="Minion Pro" w:cs="Times New Roman"/>
          <w:i/>
          <w:iCs/>
          <w:sz w:val="24"/>
          <w:szCs w:val="24"/>
          <w:lang w:val="en-US"/>
        </w:rPr>
        <w:t>kām</w:t>
      </w:r>
      <w:proofErr w:type="spellEnd"/>
      <w:r w:rsidRPr="008F0D97">
        <w:rPr>
          <w:rFonts w:ascii="Minion Pro" w:hAnsi="Minion Pro" w:cs="Times New Roman"/>
          <w:i/>
          <w:iCs/>
          <w:sz w:val="24"/>
          <w:szCs w:val="24"/>
          <w:lang w:val="en-US"/>
        </w:rPr>
        <w:t xml:space="preserve"> </w:t>
      </w:r>
      <w:r w:rsidRPr="008F0D97">
        <w:rPr>
          <w:rFonts w:ascii="Minion Pro" w:hAnsi="Minion Pro" w:cs="Times New Roman"/>
          <w:iCs/>
          <w:sz w:val="24"/>
          <w:szCs w:val="24"/>
          <w:lang w:val="en-US"/>
        </w:rPr>
        <w:t xml:space="preserve">Hasil </w:t>
      </w:r>
      <w:proofErr w:type="spellStart"/>
      <w:r w:rsidRPr="008F0D97">
        <w:rPr>
          <w:rFonts w:ascii="Minion Pro" w:hAnsi="Minion Pro" w:cs="Times New Roman"/>
          <w:iCs/>
          <w:sz w:val="24"/>
          <w:szCs w:val="24"/>
          <w:lang w:val="en-US"/>
        </w:rPr>
        <w:t>Muktamar</w:t>
      </w:r>
      <w:proofErr w:type="spellEnd"/>
      <w:r w:rsidRPr="008F0D97">
        <w:rPr>
          <w:rFonts w:ascii="Minion Pro" w:hAnsi="Minion Pro" w:cs="Times New Roman"/>
          <w:iCs/>
          <w:sz w:val="24"/>
          <w:szCs w:val="24"/>
          <w:lang w:val="en-US"/>
        </w:rPr>
        <w:t xml:space="preserve"> ke-33”. </w:t>
      </w:r>
      <w:proofErr w:type="spellStart"/>
      <w:r w:rsidRPr="008F0D97">
        <w:rPr>
          <w:rFonts w:ascii="Minion Pro" w:hAnsi="Minion Pro" w:cs="Times New Roman"/>
          <w:i/>
          <w:iCs/>
          <w:sz w:val="24"/>
          <w:szCs w:val="24"/>
          <w:lang w:val="en-US"/>
        </w:rPr>
        <w:t>Tesis</w:t>
      </w:r>
      <w:proofErr w:type="spellEnd"/>
      <w:r w:rsidRPr="008F0D97">
        <w:rPr>
          <w:rFonts w:ascii="Minion Pro" w:hAnsi="Minion Pro" w:cs="Times New Roman"/>
          <w:iCs/>
          <w:sz w:val="24"/>
          <w:szCs w:val="24"/>
          <w:lang w:val="en-US"/>
        </w:rPr>
        <w:t xml:space="preserve">. Surabaya: UIN </w:t>
      </w:r>
      <w:proofErr w:type="spellStart"/>
      <w:r w:rsidRPr="008F0D97">
        <w:rPr>
          <w:rFonts w:ascii="Minion Pro" w:hAnsi="Minion Pro" w:cs="Times New Roman"/>
          <w:iCs/>
          <w:sz w:val="24"/>
          <w:szCs w:val="24"/>
          <w:lang w:val="en-US"/>
        </w:rPr>
        <w:t>Sunan</w:t>
      </w:r>
      <w:proofErr w:type="spellEnd"/>
      <w:r w:rsidRPr="008F0D97">
        <w:rPr>
          <w:rFonts w:ascii="Minion Pro" w:hAnsi="Minion Pro" w:cs="Times New Roman"/>
          <w:iCs/>
          <w:sz w:val="24"/>
          <w:szCs w:val="24"/>
          <w:lang w:val="en-US"/>
        </w:rPr>
        <w:t xml:space="preserve"> </w:t>
      </w:r>
      <w:proofErr w:type="spellStart"/>
      <w:r w:rsidRPr="008F0D97">
        <w:rPr>
          <w:rFonts w:ascii="Minion Pro" w:hAnsi="Minion Pro" w:cs="Times New Roman"/>
          <w:iCs/>
          <w:sz w:val="24"/>
          <w:szCs w:val="24"/>
          <w:lang w:val="en-US"/>
        </w:rPr>
        <w:t>Ampel</w:t>
      </w:r>
      <w:proofErr w:type="spellEnd"/>
      <w:r w:rsidRPr="008F0D97">
        <w:rPr>
          <w:rFonts w:ascii="Minion Pro" w:hAnsi="Minion Pro" w:cs="Times New Roman"/>
          <w:iCs/>
          <w:sz w:val="24"/>
          <w:szCs w:val="24"/>
          <w:lang w:val="en-US"/>
        </w:rPr>
        <w:t>, 2017.</w:t>
      </w:r>
    </w:p>
    <w:p w14:paraId="7BF017DC" w14:textId="77777777" w:rsidR="008F0D97" w:rsidRPr="008F0D97" w:rsidRDefault="008F0D97" w:rsidP="008F0D97">
      <w:pPr>
        <w:spacing w:line="240" w:lineRule="auto"/>
        <w:ind w:left="851" w:hanging="851"/>
        <w:jc w:val="both"/>
        <w:rPr>
          <w:rFonts w:ascii="Minion Pro" w:hAnsi="Minion Pro" w:cs="Times New Roman"/>
          <w:iCs/>
          <w:sz w:val="24"/>
          <w:szCs w:val="24"/>
          <w:lang w:val="en-US"/>
        </w:rPr>
      </w:pPr>
      <w:r w:rsidRPr="008F0D97">
        <w:rPr>
          <w:rFonts w:ascii="Minion Pro" w:hAnsi="Minion Pro" w:cs="Times New Roman"/>
          <w:iCs/>
          <w:sz w:val="24"/>
          <w:szCs w:val="24"/>
          <w:lang w:val="en-US"/>
        </w:rPr>
        <w:t>Wahab, Abdul. “</w:t>
      </w:r>
      <w:proofErr w:type="spellStart"/>
      <w:r w:rsidRPr="008F0D97">
        <w:rPr>
          <w:rFonts w:ascii="Minion Pro" w:hAnsi="Minion Pro" w:cs="Times New Roman"/>
          <w:iCs/>
          <w:sz w:val="24"/>
          <w:szCs w:val="24"/>
          <w:lang w:val="en-US"/>
        </w:rPr>
        <w:t>Metode</w:t>
      </w:r>
      <w:proofErr w:type="spellEnd"/>
      <w:r w:rsidRPr="008F0D97">
        <w:rPr>
          <w:rFonts w:ascii="Minion Pro" w:hAnsi="Minion Pro" w:cs="Times New Roman"/>
          <w:iCs/>
          <w:sz w:val="24"/>
          <w:szCs w:val="24"/>
          <w:lang w:val="en-US"/>
        </w:rPr>
        <w:t xml:space="preserve"> </w:t>
      </w:r>
      <w:proofErr w:type="spellStart"/>
      <w:r w:rsidRPr="008F0D97">
        <w:rPr>
          <w:rFonts w:ascii="Minion Pro" w:hAnsi="Minion Pro" w:cs="Times New Roman"/>
          <w:iCs/>
          <w:sz w:val="24"/>
          <w:szCs w:val="24"/>
          <w:lang w:val="en-US"/>
        </w:rPr>
        <w:t>Istinbat</w:t>
      </w:r>
      <w:proofErr w:type="spellEnd"/>
      <w:r w:rsidRPr="008F0D97">
        <w:rPr>
          <w:rFonts w:ascii="Minion Pro" w:hAnsi="Minion Pro" w:cs="Times New Roman"/>
          <w:iCs/>
          <w:sz w:val="24"/>
          <w:szCs w:val="24"/>
          <w:lang w:val="en-US"/>
        </w:rPr>
        <w:t xml:space="preserve"> LBM PWNU </w:t>
      </w:r>
      <w:proofErr w:type="spellStart"/>
      <w:r w:rsidRPr="008F0D97">
        <w:rPr>
          <w:rFonts w:ascii="Minion Pro" w:hAnsi="Minion Pro" w:cs="Times New Roman"/>
          <w:iCs/>
          <w:sz w:val="24"/>
          <w:szCs w:val="24"/>
          <w:lang w:val="en-US"/>
        </w:rPr>
        <w:t>Jawa</w:t>
      </w:r>
      <w:proofErr w:type="spellEnd"/>
      <w:r w:rsidRPr="008F0D97">
        <w:rPr>
          <w:rFonts w:ascii="Minion Pro" w:hAnsi="Minion Pro" w:cs="Times New Roman"/>
          <w:iCs/>
          <w:sz w:val="24"/>
          <w:szCs w:val="24"/>
          <w:lang w:val="en-US"/>
        </w:rPr>
        <w:t xml:space="preserve"> Timur </w:t>
      </w:r>
      <w:proofErr w:type="spellStart"/>
      <w:r w:rsidRPr="008F0D97">
        <w:rPr>
          <w:rFonts w:ascii="Minion Pro" w:hAnsi="Minion Pro" w:cs="Times New Roman"/>
          <w:iCs/>
          <w:sz w:val="24"/>
          <w:szCs w:val="24"/>
          <w:lang w:val="en-US"/>
        </w:rPr>
        <w:t>atas</w:t>
      </w:r>
      <w:proofErr w:type="spellEnd"/>
      <w:r w:rsidRPr="008F0D97">
        <w:rPr>
          <w:rFonts w:ascii="Minion Pro" w:hAnsi="Minion Pro" w:cs="Times New Roman"/>
          <w:iCs/>
          <w:sz w:val="24"/>
          <w:szCs w:val="24"/>
          <w:lang w:val="en-US"/>
        </w:rPr>
        <w:t xml:space="preserve"> </w:t>
      </w:r>
      <w:proofErr w:type="spellStart"/>
      <w:r w:rsidRPr="008F0D97">
        <w:rPr>
          <w:rFonts w:ascii="Minion Pro" w:hAnsi="Minion Pro" w:cs="Times New Roman"/>
          <w:iCs/>
          <w:sz w:val="24"/>
          <w:szCs w:val="24"/>
          <w:lang w:val="en-US"/>
        </w:rPr>
        <w:t>Masa’il</w:t>
      </w:r>
      <w:proofErr w:type="spellEnd"/>
      <w:r w:rsidRPr="008F0D97">
        <w:rPr>
          <w:rFonts w:ascii="Minion Pro" w:hAnsi="Minion Pro" w:cs="Times New Roman"/>
          <w:iCs/>
          <w:sz w:val="24"/>
          <w:szCs w:val="24"/>
          <w:lang w:val="en-US"/>
        </w:rPr>
        <w:t xml:space="preserve"> </w:t>
      </w:r>
      <w:proofErr w:type="spellStart"/>
      <w:r w:rsidRPr="008F0D97">
        <w:rPr>
          <w:rFonts w:ascii="Minion Pro" w:hAnsi="Minion Pro" w:cs="Times New Roman"/>
          <w:iCs/>
          <w:sz w:val="24"/>
          <w:szCs w:val="24"/>
          <w:lang w:val="en-US"/>
        </w:rPr>
        <w:t>Qanuniyyah</w:t>
      </w:r>
      <w:proofErr w:type="spellEnd"/>
      <w:r w:rsidRPr="008F0D97">
        <w:rPr>
          <w:rFonts w:ascii="Minion Pro" w:hAnsi="Minion Pro" w:cs="Times New Roman"/>
          <w:iCs/>
          <w:sz w:val="24"/>
          <w:szCs w:val="24"/>
          <w:lang w:val="en-US"/>
        </w:rPr>
        <w:t xml:space="preserve">”. </w:t>
      </w:r>
      <w:proofErr w:type="spellStart"/>
      <w:r w:rsidRPr="008F0D97">
        <w:rPr>
          <w:rFonts w:ascii="Minion Pro" w:hAnsi="Minion Pro" w:cs="Times New Roman"/>
          <w:i/>
          <w:iCs/>
          <w:sz w:val="24"/>
          <w:szCs w:val="24"/>
          <w:lang w:val="en-US"/>
        </w:rPr>
        <w:t>Disertasi</w:t>
      </w:r>
      <w:proofErr w:type="spellEnd"/>
      <w:r w:rsidRPr="008F0D97">
        <w:rPr>
          <w:rFonts w:ascii="Minion Pro" w:hAnsi="Minion Pro" w:cs="Times New Roman"/>
          <w:iCs/>
          <w:sz w:val="24"/>
          <w:szCs w:val="24"/>
          <w:lang w:val="en-US"/>
        </w:rPr>
        <w:t xml:space="preserve">. Yogyakarta: UIN </w:t>
      </w:r>
      <w:proofErr w:type="spellStart"/>
      <w:r w:rsidRPr="008F0D97">
        <w:rPr>
          <w:rFonts w:ascii="Minion Pro" w:hAnsi="Minion Pro" w:cs="Times New Roman"/>
          <w:iCs/>
          <w:sz w:val="24"/>
          <w:szCs w:val="24"/>
          <w:lang w:val="en-US"/>
        </w:rPr>
        <w:t>Sunan</w:t>
      </w:r>
      <w:proofErr w:type="spellEnd"/>
      <w:r w:rsidRPr="008F0D97">
        <w:rPr>
          <w:rFonts w:ascii="Minion Pro" w:hAnsi="Minion Pro" w:cs="Times New Roman"/>
          <w:iCs/>
          <w:sz w:val="24"/>
          <w:szCs w:val="24"/>
          <w:lang w:val="en-US"/>
        </w:rPr>
        <w:t xml:space="preserve"> </w:t>
      </w:r>
      <w:proofErr w:type="spellStart"/>
      <w:r w:rsidRPr="008F0D97">
        <w:rPr>
          <w:rFonts w:ascii="Minion Pro" w:hAnsi="Minion Pro" w:cs="Times New Roman"/>
          <w:iCs/>
          <w:sz w:val="24"/>
          <w:szCs w:val="24"/>
          <w:lang w:val="en-US"/>
        </w:rPr>
        <w:t>Kalijaga</w:t>
      </w:r>
      <w:proofErr w:type="spellEnd"/>
      <w:r w:rsidRPr="008F0D97">
        <w:rPr>
          <w:rFonts w:ascii="Minion Pro" w:hAnsi="Minion Pro" w:cs="Times New Roman"/>
          <w:iCs/>
          <w:sz w:val="24"/>
          <w:szCs w:val="24"/>
          <w:lang w:val="en-US"/>
        </w:rPr>
        <w:t>, 2020.</w:t>
      </w:r>
    </w:p>
    <w:p w14:paraId="44D04EEE" w14:textId="77777777" w:rsidR="008F0D97" w:rsidRPr="008F0D97" w:rsidRDefault="008F0D97" w:rsidP="008F0D97">
      <w:pPr>
        <w:spacing w:line="240" w:lineRule="auto"/>
        <w:ind w:left="851" w:hanging="851"/>
        <w:jc w:val="both"/>
        <w:rPr>
          <w:rFonts w:ascii="Minion Pro" w:hAnsi="Minion Pro" w:cs="Times New Roman"/>
          <w:iCs/>
          <w:sz w:val="24"/>
          <w:szCs w:val="24"/>
          <w:lang w:val="en-US"/>
        </w:rPr>
      </w:pPr>
      <w:proofErr w:type="spellStart"/>
      <w:r w:rsidRPr="008F0D97">
        <w:rPr>
          <w:rFonts w:ascii="Minion Pro" w:hAnsi="Minion Pro" w:cs="Times New Roman"/>
          <w:iCs/>
          <w:sz w:val="24"/>
          <w:szCs w:val="24"/>
          <w:lang w:val="en-US"/>
        </w:rPr>
        <w:t>Adib</w:t>
      </w:r>
      <w:proofErr w:type="spellEnd"/>
      <w:r w:rsidRPr="008F0D97">
        <w:rPr>
          <w:rFonts w:ascii="Minion Pro" w:hAnsi="Minion Pro" w:cs="Times New Roman"/>
          <w:iCs/>
          <w:sz w:val="24"/>
          <w:szCs w:val="24"/>
          <w:lang w:val="en-US"/>
        </w:rPr>
        <w:t xml:space="preserve">, Muhammad, dan Muhammad </w:t>
      </w:r>
      <w:proofErr w:type="spellStart"/>
      <w:r w:rsidRPr="008F0D97">
        <w:rPr>
          <w:rFonts w:ascii="Minion Pro" w:hAnsi="Minion Pro" w:cs="Times New Roman"/>
          <w:iCs/>
          <w:sz w:val="24"/>
          <w:szCs w:val="24"/>
          <w:lang w:val="en-US"/>
        </w:rPr>
        <w:t>Hasbullah</w:t>
      </w:r>
      <w:proofErr w:type="spellEnd"/>
      <w:r w:rsidRPr="008F0D97">
        <w:rPr>
          <w:rFonts w:ascii="Minion Pro" w:hAnsi="Minion Pro" w:cs="Times New Roman"/>
          <w:iCs/>
          <w:sz w:val="24"/>
          <w:szCs w:val="24"/>
          <w:lang w:val="en-US"/>
        </w:rPr>
        <w:t xml:space="preserve"> Huda. “</w:t>
      </w:r>
      <w:proofErr w:type="spellStart"/>
      <w:r w:rsidRPr="008F0D97">
        <w:rPr>
          <w:rFonts w:ascii="Minion Pro" w:hAnsi="Minion Pro" w:cs="Times New Roman"/>
          <w:iCs/>
          <w:sz w:val="24"/>
          <w:szCs w:val="24"/>
          <w:lang w:val="en-US"/>
        </w:rPr>
        <w:t>Fleksib</w:t>
      </w:r>
      <w:proofErr w:type="spellEnd"/>
      <w:r w:rsidRPr="008F0D97">
        <w:rPr>
          <w:rFonts w:ascii="Minion Pro" w:hAnsi="Minion Pro" w:cs="Times New Roman"/>
          <w:iCs/>
          <w:sz w:val="24"/>
          <w:szCs w:val="24"/>
        </w:rPr>
        <w:t>i</w:t>
      </w:r>
      <w:r w:rsidRPr="008F0D97">
        <w:rPr>
          <w:rFonts w:ascii="Minion Pro" w:hAnsi="Minion Pro" w:cs="Times New Roman"/>
          <w:iCs/>
          <w:sz w:val="24"/>
          <w:szCs w:val="24"/>
          <w:lang w:val="en-US"/>
        </w:rPr>
        <w:t xml:space="preserve">litas </w:t>
      </w:r>
      <w:proofErr w:type="spellStart"/>
      <w:r w:rsidRPr="008F0D97">
        <w:rPr>
          <w:rFonts w:ascii="Minion Pro" w:hAnsi="Minion Pro" w:cs="Times New Roman"/>
          <w:iCs/>
          <w:sz w:val="24"/>
          <w:szCs w:val="24"/>
          <w:lang w:val="en-US"/>
        </w:rPr>
        <w:t>Kognitif</w:t>
      </w:r>
      <w:proofErr w:type="spellEnd"/>
      <w:r w:rsidRPr="008F0D97">
        <w:rPr>
          <w:rFonts w:ascii="Minion Pro" w:hAnsi="Minion Pro" w:cs="Times New Roman"/>
          <w:iCs/>
          <w:sz w:val="24"/>
          <w:szCs w:val="24"/>
          <w:lang w:val="en-US"/>
        </w:rPr>
        <w:t xml:space="preserve"> </w:t>
      </w:r>
      <w:proofErr w:type="spellStart"/>
      <w:r w:rsidRPr="008F0D97">
        <w:rPr>
          <w:rFonts w:ascii="Minion Pro" w:hAnsi="Minion Pro" w:cs="Times New Roman"/>
          <w:iCs/>
          <w:sz w:val="24"/>
          <w:szCs w:val="24"/>
          <w:lang w:val="en-US"/>
        </w:rPr>
        <w:t>dalam</w:t>
      </w:r>
      <w:proofErr w:type="spellEnd"/>
      <w:r w:rsidRPr="008F0D97">
        <w:rPr>
          <w:rFonts w:ascii="Minion Pro" w:hAnsi="Minion Pro" w:cs="Times New Roman"/>
          <w:iCs/>
          <w:sz w:val="24"/>
          <w:szCs w:val="24"/>
          <w:lang w:val="en-US"/>
        </w:rPr>
        <w:t xml:space="preserve"> </w:t>
      </w:r>
      <w:proofErr w:type="spellStart"/>
      <w:r w:rsidRPr="008F0D97">
        <w:rPr>
          <w:rFonts w:ascii="Minion Pro" w:hAnsi="Minion Pro" w:cs="Times New Roman"/>
          <w:i/>
          <w:iCs/>
          <w:sz w:val="24"/>
          <w:szCs w:val="24"/>
          <w:lang w:val="en-US"/>
        </w:rPr>
        <w:t>Bahts</w:t>
      </w:r>
      <w:proofErr w:type="spellEnd"/>
      <w:r w:rsidRPr="008F0D97">
        <w:rPr>
          <w:rFonts w:ascii="Minion Pro" w:hAnsi="Minion Pro" w:cs="Times New Roman"/>
          <w:i/>
          <w:iCs/>
          <w:sz w:val="24"/>
          <w:szCs w:val="24"/>
          <w:lang w:val="en-US"/>
        </w:rPr>
        <w:t xml:space="preserve"> al-</w:t>
      </w:r>
      <w:proofErr w:type="spellStart"/>
      <w:r w:rsidRPr="008F0D97">
        <w:rPr>
          <w:rFonts w:ascii="Minion Pro" w:hAnsi="Minion Pro" w:cs="Times New Roman"/>
          <w:i/>
          <w:iCs/>
          <w:sz w:val="24"/>
          <w:szCs w:val="24"/>
          <w:lang w:val="en-US"/>
        </w:rPr>
        <w:t>Masāil</w:t>
      </w:r>
      <w:proofErr w:type="spellEnd"/>
      <w:r w:rsidRPr="008F0D97">
        <w:rPr>
          <w:rFonts w:ascii="Minion Pro" w:hAnsi="Minion Pro" w:cs="Times New Roman"/>
          <w:iCs/>
          <w:sz w:val="24"/>
          <w:szCs w:val="24"/>
          <w:lang w:val="en-US"/>
        </w:rPr>
        <w:t xml:space="preserve"> </w:t>
      </w:r>
      <w:proofErr w:type="spellStart"/>
      <w:r w:rsidRPr="008F0D97">
        <w:rPr>
          <w:rFonts w:ascii="Minion Pro" w:hAnsi="Minion Pro" w:cs="Times New Roman"/>
          <w:iCs/>
          <w:sz w:val="24"/>
          <w:szCs w:val="24"/>
          <w:lang w:val="en-US"/>
        </w:rPr>
        <w:t>Nahdlatul</w:t>
      </w:r>
      <w:proofErr w:type="spellEnd"/>
      <w:r w:rsidRPr="008F0D97">
        <w:rPr>
          <w:rFonts w:ascii="Minion Pro" w:hAnsi="Minion Pro" w:cs="Times New Roman"/>
          <w:iCs/>
          <w:sz w:val="24"/>
          <w:szCs w:val="24"/>
          <w:lang w:val="en-US"/>
        </w:rPr>
        <w:t xml:space="preserve"> Ulama”. </w:t>
      </w:r>
      <w:r w:rsidRPr="008F0D97">
        <w:rPr>
          <w:rFonts w:ascii="Minion Pro" w:hAnsi="Minion Pro" w:cs="Times New Roman"/>
          <w:i/>
          <w:iCs/>
          <w:sz w:val="24"/>
          <w:szCs w:val="24"/>
        </w:rPr>
        <w:t>Intaj: J</w:t>
      </w:r>
      <w:proofErr w:type="spellStart"/>
      <w:r w:rsidRPr="008F0D97">
        <w:rPr>
          <w:rFonts w:ascii="Minion Pro" w:hAnsi="Minion Pro" w:cs="Times New Roman"/>
          <w:i/>
          <w:iCs/>
          <w:sz w:val="24"/>
          <w:szCs w:val="24"/>
          <w:lang w:val="en-US"/>
        </w:rPr>
        <w:t>urnal</w:t>
      </w:r>
      <w:proofErr w:type="spellEnd"/>
      <w:r w:rsidRPr="008F0D97">
        <w:rPr>
          <w:rFonts w:ascii="Minion Pro" w:hAnsi="Minion Pro" w:cs="Times New Roman"/>
          <w:i/>
          <w:iCs/>
          <w:sz w:val="24"/>
          <w:szCs w:val="24"/>
          <w:lang w:val="en-US"/>
        </w:rPr>
        <w:t xml:space="preserve"> </w:t>
      </w:r>
      <w:proofErr w:type="spellStart"/>
      <w:r w:rsidRPr="008F0D97">
        <w:rPr>
          <w:rFonts w:ascii="Minion Pro" w:hAnsi="Minion Pro" w:cs="Times New Roman"/>
          <w:i/>
          <w:iCs/>
          <w:sz w:val="24"/>
          <w:szCs w:val="24"/>
          <w:lang w:val="en-US"/>
        </w:rPr>
        <w:t>Penelitian</w:t>
      </w:r>
      <w:proofErr w:type="spellEnd"/>
      <w:r w:rsidRPr="008F0D97">
        <w:rPr>
          <w:rFonts w:ascii="Minion Pro" w:hAnsi="Minion Pro" w:cs="Times New Roman"/>
          <w:i/>
          <w:iCs/>
          <w:sz w:val="24"/>
          <w:szCs w:val="24"/>
          <w:lang w:val="en-US"/>
        </w:rPr>
        <w:t xml:space="preserve"> </w:t>
      </w:r>
      <w:proofErr w:type="spellStart"/>
      <w:r w:rsidRPr="008F0D97">
        <w:rPr>
          <w:rFonts w:ascii="Minion Pro" w:hAnsi="Minion Pro" w:cs="Times New Roman"/>
          <w:i/>
          <w:iCs/>
          <w:sz w:val="24"/>
          <w:szCs w:val="24"/>
          <w:lang w:val="en-US"/>
        </w:rPr>
        <w:t>Ilmiah</w:t>
      </w:r>
      <w:proofErr w:type="spellEnd"/>
      <w:r w:rsidRPr="008F0D97">
        <w:rPr>
          <w:rFonts w:ascii="Minion Pro" w:hAnsi="Minion Pro" w:cs="Times New Roman"/>
          <w:iCs/>
          <w:sz w:val="24"/>
          <w:szCs w:val="24"/>
          <w:lang w:val="en-US"/>
        </w:rPr>
        <w:t>. Vol. 04, No. 02 (</w:t>
      </w:r>
      <w:proofErr w:type="spellStart"/>
      <w:r w:rsidRPr="008F0D97">
        <w:rPr>
          <w:rFonts w:ascii="Minion Pro" w:hAnsi="Minion Pro" w:cs="Times New Roman"/>
          <w:iCs/>
          <w:sz w:val="24"/>
          <w:szCs w:val="24"/>
          <w:lang w:val="en-US"/>
        </w:rPr>
        <w:t>Oktober</w:t>
      </w:r>
      <w:proofErr w:type="spellEnd"/>
      <w:r w:rsidRPr="008F0D97">
        <w:rPr>
          <w:rFonts w:ascii="Minion Pro" w:hAnsi="Minion Pro" w:cs="Times New Roman"/>
          <w:iCs/>
          <w:sz w:val="24"/>
          <w:szCs w:val="24"/>
          <w:lang w:val="en-US"/>
        </w:rPr>
        <w:t xml:space="preserve"> 2020).</w:t>
      </w:r>
    </w:p>
    <w:p w14:paraId="0670CB9E" w14:textId="77777777" w:rsidR="008F0D97" w:rsidRPr="008F0D97" w:rsidRDefault="008F0D97" w:rsidP="008F0D97">
      <w:pPr>
        <w:spacing w:line="240" w:lineRule="auto"/>
        <w:ind w:left="851" w:hanging="851"/>
        <w:jc w:val="both"/>
        <w:rPr>
          <w:rFonts w:ascii="Minion Pro" w:hAnsi="Minion Pro" w:cs="Times New Roman"/>
          <w:iCs/>
          <w:sz w:val="24"/>
          <w:szCs w:val="24"/>
          <w:vertAlign w:val="superscript"/>
          <w:lang w:val="en-US"/>
        </w:rPr>
      </w:pPr>
      <w:r w:rsidRPr="008F0D97">
        <w:rPr>
          <w:rFonts w:ascii="Minion Pro" w:hAnsi="Minion Pro" w:cs="Times New Roman"/>
          <w:iCs/>
          <w:sz w:val="24"/>
          <w:szCs w:val="24"/>
          <w:lang w:val="en-US"/>
        </w:rPr>
        <w:t>H</w:t>
      </w:r>
      <w:r w:rsidRPr="008F0D97">
        <w:rPr>
          <w:rFonts w:ascii="Minion Pro" w:hAnsi="Minion Pro" w:cs="Times New Roman"/>
          <w:iCs/>
          <w:sz w:val="24"/>
          <w:szCs w:val="24"/>
        </w:rPr>
        <w:t>arb, ‘Alī</w:t>
      </w:r>
      <w:r w:rsidRPr="008F0D97">
        <w:rPr>
          <w:rFonts w:ascii="Minion Pro" w:hAnsi="Minion Pro" w:cs="Times New Roman"/>
          <w:iCs/>
          <w:sz w:val="24"/>
          <w:szCs w:val="24"/>
          <w:lang w:val="en-US"/>
        </w:rPr>
        <w:t>.</w:t>
      </w:r>
      <w:r w:rsidRPr="008F0D97">
        <w:rPr>
          <w:rFonts w:ascii="Minion Pro" w:hAnsi="Minion Pro" w:cs="Times New Roman"/>
          <w:iCs/>
          <w:sz w:val="24"/>
          <w:szCs w:val="24"/>
        </w:rPr>
        <w:t xml:space="preserve"> </w:t>
      </w:r>
      <w:r w:rsidRPr="008F0D97">
        <w:rPr>
          <w:rFonts w:ascii="Minion Pro" w:hAnsi="Minion Pro" w:cs="Times New Roman"/>
          <w:i/>
          <w:iCs/>
          <w:sz w:val="24"/>
          <w:szCs w:val="24"/>
        </w:rPr>
        <w:t>Naqd al-</w:t>
      </w:r>
      <w:r w:rsidRPr="008F0D97">
        <w:rPr>
          <w:rFonts w:ascii="Minion Pro" w:hAnsi="Minion Pro" w:cs="Times New Roman"/>
          <w:i/>
          <w:iCs/>
          <w:sz w:val="24"/>
          <w:szCs w:val="24"/>
          <w:lang w:val="en-US"/>
        </w:rPr>
        <w:t>H</w:t>
      </w:r>
      <w:r w:rsidRPr="008F0D97">
        <w:rPr>
          <w:rFonts w:ascii="Minion Pro" w:hAnsi="Minion Pro" w:cs="Times New Roman"/>
          <w:i/>
          <w:iCs/>
          <w:sz w:val="24"/>
          <w:szCs w:val="24"/>
        </w:rPr>
        <w:t>aqīqah</w:t>
      </w:r>
      <w:r w:rsidRPr="008F0D97">
        <w:rPr>
          <w:rFonts w:ascii="Minion Pro" w:hAnsi="Minion Pro" w:cs="Times New Roman"/>
          <w:iCs/>
          <w:sz w:val="24"/>
          <w:szCs w:val="24"/>
          <w:lang w:val="en-US"/>
        </w:rPr>
        <w:t>.</w:t>
      </w:r>
      <w:r w:rsidRPr="008F0D97">
        <w:rPr>
          <w:rFonts w:ascii="Minion Pro" w:hAnsi="Minion Pro" w:cs="Times New Roman"/>
          <w:iCs/>
          <w:sz w:val="24"/>
          <w:szCs w:val="24"/>
        </w:rPr>
        <w:t xml:space="preserve"> </w:t>
      </w:r>
      <w:proofErr w:type="spellStart"/>
      <w:r w:rsidRPr="008F0D97">
        <w:rPr>
          <w:rFonts w:ascii="Minion Pro" w:hAnsi="Minion Pro" w:cs="Times New Roman"/>
          <w:iCs/>
          <w:sz w:val="24"/>
          <w:szCs w:val="24"/>
          <w:lang w:val="en-US"/>
        </w:rPr>
        <w:t>Ctk</w:t>
      </w:r>
      <w:proofErr w:type="spellEnd"/>
      <w:r w:rsidRPr="008F0D97">
        <w:rPr>
          <w:rFonts w:ascii="Minion Pro" w:hAnsi="Minion Pro" w:cs="Times New Roman"/>
          <w:iCs/>
          <w:sz w:val="24"/>
          <w:szCs w:val="24"/>
          <w:lang w:val="en-US"/>
        </w:rPr>
        <w:t xml:space="preserve">. I. </w:t>
      </w:r>
      <w:r w:rsidRPr="008F0D97">
        <w:rPr>
          <w:rFonts w:ascii="Minion Pro" w:hAnsi="Minion Pro" w:cs="Times New Roman"/>
          <w:iCs/>
          <w:sz w:val="24"/>
          <w:szCs w:val="24"/>
        </w:rPr>
        <w:t>Beirut: al-Markaz a</w:t>
      </w:r>
      <w:r w:rsidRPr="008F0D97">
        <w:rPr>
          <w:rFonts w:ascii="Minion Pro" w:hAnsi="Minion Pro" w:cs="Times New Roman"/>
          <w:iCs/>
          <w:sz w:val="24"/>
          <w:szCs w:val="24"/>
          <w:lang w:val="en-US"/>
        </w:rPr>
        <w:t>l</w:t>
      </w:r>
      <w:r w:rsidRPr="008F0D97">
        <w:rPr>
          <w:rFonts w:ascii="Minion Pro" w:hAnsi="Minion Pro" w:cs="Times New Roman"/>
          <w:iCs/>
          <w:sz w:val="24"/>
          <w:szCs w:val="24"/>
        </w:rPr>
        <w:t>-</w:t>
      </w:r>
      <w:r w:rsidRPr="008F0D97">
        <w:rPr>
          <w:rFonts w:ascii="Minion Pro" w:hAnsi="Minion Pro" w:cs="Times New Roman"/>
          <w:iCs/>
          <w:sz w:val="24"/>
          <w:szCs w:val="24"/>
          <w:lang w:val="en-US"/>
        </w:rPr>
        <w:t>Ts</w:t>
      </w:r>
      <w:r w:rsidRPr="008F0D97">
        <w:rPr>
          <w:rFonts w:ascii="Minion Pro" w:hAnsi="Minion Pro" w:cs="Times New Roman"/>
          <w:iCs/>
          <w:sz w:val="24"/>
          <w:szCs w:val="24"/>
        </w:rPr>
        <w:t>aqāfī al</w:t>
      </w:r>
      <w:proofErr w:type="gramStart"/>
      <w:r w:rsidRPr="008F0D97">
        <w:rPr>
          <w:rFonts w:ascii="Minion Pro" w:hAnsi="Minion Pro" w:cs="Times New Roman"/>
          <w:iCs/>
          <w:sz w:val="24"/>
          <w:szCs w:val="24"/>
        </w:rPr>
        <w:t>-‘</w:t>
      </w:r>
      <w:proofErr w:type="gramEnd"/>
      <w:r w:rsidRPr="008F0D97">
        <w:rPr>
          <w:rFonts w:ascii="Minion Pro" w:hAnsi="Minion Pro" w:cs="Times New Roman"/>
          <w:iCs/>
          <w:sz w:val="24"/>
          <w:szCs w:val="24"/>
        </w:rPr>
        <w:t>Arabī, 1993</w:t>
      </w:r>
      <w:r w:rsidRPr="008F0D97">
        <w:rPr>
          <w:rFonts w:ascii="Minion Pro" w:hAnsi="Minion Pro" w:cs="Times New Roman"/>
          <w:iCs/>
          <w:sz w:val="24"/>
          <w:szCs w:val="24"/>
          <w:lang w:val="en-US"/>
        </w:rPr>
        <w:t>.</w:t>
      </w:r>
    </w:p>
    <w:p w14:paraId="304026FE" w14:textId="77777777" w:rsidR="008F0D97" w:rsidRPr="008F0D97" w:rsidRDefault="008F0D97" w:rsidP="008F0D97">
      <w:pPr>
        <w:spacing w:line="240" w:lineRule="auto"/>
        <w:ind w:left="851" w:hanging="851"/>
        <w:jc w:val="both"/>
        <w:rPr>
          <w:rFonts w:ascii="Minion Pro" w:hAnsi="Minion Pro" w:cs="Times New Roman"/>
          <w:iCs/>
          <w:sz w:val="24"/>
          <w:szCs w:val="24"/>
          <w:lang w:val="en-US"/>
        </w:rPr>
      </w:pPr>
      <w:r w:rsidRPr="008F0D97">
        <w:rPr>
          <w:rFonts w:ascii="Minion Pro" w:hAnsi="Minion Pro" w:cs="Times New Roman"/>
          <w:iCs/>
          <w:sz w:val="24"/>
          <w:szCs w:val="24"/>
        </w:rPr>
        <w:t>White</w:t>
      </w:r>
      <w:r w:rsidRPr="008F0D97">
        <w:rPr>
          <w:rFonts w:ascii="Minion Pro" w:hAnsi="Minion Pro" w:cs="Times New Roman"/>
          <w:iCs/>
          <w:sz w:val="24"/>
          <w:szCs w:val="24"/>
          <w:lang w:val="en-US"/>
        </w:rPr>
        <w:t>,</w:t>
      </w:r>
      <w:r w:rsidRPr="008F0D97">
        <w:rPr>
          <w:rFonts w:ascii="Minion Pro" w:hAnsi="Minion Pro" w:cs="Times New Roman"/>
          <w:iCs/>
          <w:sz w:val="24"/>
          <w:szCs w:val="24"/>
        </w:rPr>
        <w:t xml:space="preserve"> Marilyin D.</w:t>
      </w:r>
      <w:r w:rsidRPr="008F0D97">
        <w:rPr>
          <w:rFonts w:ascii="Minion Pro" w:hAnsi="Minion Pro" w:cs="Times New Roman"/>
          <w:iCs/>
          <w:sz w:val="24"/>
          <w:szCs w:val="24"/>
          <w:lang w:val="en-US"/>
        </w:rPr>
        <w:t>,</w:t>
      </w:r>
      <w:r w:rsidRPr="008F0D97">
        <w:rPr>
          <w:rFonts w:ascii="Minion Pro" w:hAnsi="Minion Pro" w:cs="Times New Roman"/>
          <w:iCs/>
          <w:sz w:val="24"/>
          <w:szCs w:val="24"/>
        </w:rPr>
        <w:t xml:space="preserve"> dan Emily E. Marsh</w:t>
      </w:r>
      <w:r w:rsidRPr="008F0D97">
        <w:rPr>
          <w:rFonts w:ascii="Minion Pro" w:hAnsi="Minion Pro" w:cs="Times New Roman"/>
          <w:iCs/>
          <w:sz w:val="24"/>
          <w:szCs w:val="24"/>
          <w:lang w:val="en-US"/>
        </w:rPr>
        <w:t>.</w:t>
      </w:r>
      <w:r w:rsidRPr="008F0D97">
        <w:rPr>
          <w:rFonts w:ascii="Minion Pro" w:hAnsi="Minion Pro" w:cs="Times New Roman"/>
          <w:iCs/>
          <w:sz w:val="24"/>
          <w:szCs w:val="24"/>
        </w:rPr>
        <w:t xml:space="preserve"> “Content Analysis: A Flexible Methodology”</w:t>
      </w:r>
      <w:r w:rsidRPr="008F0D97">
        <w:rPr>
          <w:rFonts w:ascii="Minion Pro" w:hAnsi="Minion Pro" w:cs="Times New Roman"/>
          <w:iCs/>
          <w:sz w:val="24"/>
          <w:szCs w:val="24"/>
          <w:lang w:val="en-US"/>
        </w:rPr>
        <w:t>.</w:t>
      </w:r>
      <w:r w:rsidRPr="008F0D97">
        <w:rPr>
          <w:rFonts w:ascii="Minion Pro" w:hAnsi="Minion Pro" w:cs="Times New Roman"/>
          <w:iCs/>
          <w:sz w:val="24"/>
          <w:szCs w:val="24"/>
        </w:rPr>
        <w:t xml:space="preserve"> </w:t>
      </w:r>
      <w:r w:rsidRPr="008F0D97">
        <w:rPr>
          <w:rFonts w:ascii="Minion Pro" w:hAnsi="Minion Pro" w:cs="Times New Roman"/>
          <w:i/>
          <w:iCs/>
          <w:sz w:val="24"/>
          <w:szCs w:val="24"/>
        </w:rPr>
        <w:t>Library Trends</w:t>
      </w:r>
      <w:r w:rsidRPr="008F0D97">
        <w:rPr>
          <w:rFonts w:ascii="Minion Pro" w:hAnsi="Minion Pro" w:cs="Times New Roman"/>
          <w:iCs/>
          <w:sz w:val="24"/>
          <w:szCs w:val="24"/>
          <w:lang w:val="en-US"/>
        </w:rPr>
        <w:t>.</w:t>
      </w:r>
      <w:r w:rsidRPr="008F0D97">
        <w:rPr>
          <w:rFonts w:ascii="Minion Pro" w:hAnsi="Minion Pro" w:cs="Times New Roman"/>
          <w:iCs/>
          <w:sz w:val="24"/>
          <w:szCs w:val="24"/>
        </w:rPr>
        <w:t xml:space="preserve"> Vol. 55, No. 1</w:t>
      </w:r>
      <w:r w:rsidRPr="008F0D97">
        <w:rPr>
          <w:rFonts w:ascii="Minion Pro" w:hAnsi="Minion Pro" w:cs="Times New Roman"/>
          <w:iCs/>
          <w:sz w:val="24"/>
          <w:szCs w:val="24"/>
          <w:lang w:val="en-US"/>
        </w:rPr>
        <w:t xml:space="preserve">. </w:t>
      </w:r>
      <w:r w:rsidRPr="008F0D97">
        <w:rPr>
          <w:rFonts w:ascii="Minion Pro" w:hAnsi="Minion Pro" w:cs="Times New Roman"/>
          <w:iCs/>
          <w:sz w:val="24"/>
          <w:szCs w:val="24"/>
        </w:rPr>
        <w:t>Juni-Agustus, 2006</w:t>
      </w:r>
      <w:r w:rsidRPr="008F0D97">
        <w:rPr>
          <w:rFonts w:ascii="Minion Pro" w:hAnsi="Minion Pro" w:cs="Times New Roman"/>
          <w:iCs/>
          <w:sz w:val="24"/>
          <w:szCs w:val="24"/>
          <w:lang w:val="en-US"/>
        </w:rPr>
        <w:t>.</w:t>
      </w:r>
    </w:p>
    <w:p w14:paraId="2824B9C3" w14:textId="77777777" w:rsidR="008F0D97" w:rsidRPr="008F0D97" w:rsidRDefault="008F0D97" w:rsidP="008F0D97">
      <w:pPr>
        <w:spacing w:line="240" w:lineRule="auto"/>
        <w:ind w:left="851" w:hanging="851"/>
        <w:jc w:val="both"/>
        <w:rPr>
          <w:rFonts w:ascii="Minion Pro" w:hAnsi="Minion Pro" w:cs="Times New Roman"/>
          <w:iCs/>
          <w:sz w:val="24"/>
          <w:szCs w:val="24"/>
          <w:lang w:val="en-US"/>
        </w:rPr>
      </w:pPr>
      <w:r w:rsidRPr="008F0D97">
        <w:rPr>
          <w:rFonts w:ascii="Minion Pro" w:hAnsi="Minion Pro" w:cs="Times New Roman"/>
          <w:iCs/>
          <w:sz w:val="24"/>
          <w:szCs w:val="24"/>
          <w:lang w:val="en-US"/>
        </w:rPr>
        <w:t>Miles</w:t>
      </w:r>
      <w:r w:rsidRPr="008F0D97">
        <w:rPr>
          <w:rFonts w:ascii="Minion Pro" w:hAnsi="Minion Pro" w:cs="Times New Roman"/>
          <w:iCs/>
          <w:sz w:val="24"/>
          <w:szCs w:val="24"/>
        </w:rPr>
        <w:t>,</w:t>
      </w:r>
      <w:r w:rsidRPr="008F0D97">
        <w:rPr>
          <w:rFonts w:ascii="Minion Pro" w:hAnsi="Minion Pro" w:cs="Times New Roman"/>
          <w:iCs/>
          <w:sz w:val="24"/>
          <w:szCs w:val="24"/>
          <w:lang w:val="en-US"/>
        </w:rPr>
        <w:t xml:space="preserve"> Matthew B., dan Alan M. Huberman. </w:t>
      </w:r>
      <w:r w:rsidRPr="008F0D97">
        <w:rPr>
          <w:rFonts w:ascii="Minion Pro" w:hAnsi="Minion Pro" w:cs="Times New Roman"/>
          <w:i/>
          <w:iCs/>
          <w:sz w:val="24"/>
          <w:szCs w:val="24"/>
          <w:lang w:val="en-US"/>
        </w:rPr>
        <w:t xml:space="preserve">Qualitative Data Analysis: </w:t>
      </w:r>
      <w:proofErr w:type="gramStart"/>
      <w:r w:rsidRPr="008F0D97">
        <w:rPr>
          <w:rFonts w:ascii="Minion Pro" w:hAnsi="Minion Pro" w:cs="Times New Roman"/>
          <w:i/>
          <w:iCs/>
          <w:sz w:val="24"/>
          <w:szCs w:val="24"/>
          <w:lang w:val="en-US"/>
        </w:rPr>
        <w:t>an</w:t>
      </w:r>
      <w:proofErr w:type="gramEnd"/>
      <w:r w:rsidRPr="008F0D97">
        <w:rPr>
          <w:rFonts w:ascii="Minion Pro" w:hAnsi="Minion Pro" w:cs="Times New Roman"/>
          <w:i/>
          <w:iCs/>
          <w:sz w:val="24"/>
          <w:szCs w:val="24"/>
          <w:lang w:val="en-US"/>
        </w:rPr>
        <w:t xml:space="preserve"> Expanded Sourcebook</w:t>
      </w:r>
      <w:r w:rsidRPr="008F0D97">
        <w:rPr>
          <w:rFonts w:ascii="Minion Pro" w:hAnsi="Minion Pro" w:cs="Times New Roman"/>
          <w:iCs/>
          <w:sz w:val="24"/>
          <w:szCs w:val="24"/>
          <w:lang w:val="en-US"/>
        </w:rPr>
        <w:t>. C</w:t>
      </w:r>
      <w:r w:rsidRPr="008F0D97">
        <w:rPr>
          <w:rFonts w:ascii="Minion Pro" w:hAnsi="Minion Pro" w:cs="Times New Roman"/>
          <w:iCs/>
          <w:sz w:val="24"/>
          <w:szCs w:val="24"/>
        </w:rPr>
        <w:t>tk</w:t>
      </w:r>
      <w:r w:rsidRPr="008F0D97">
        <w:rPr>
          <w:rFonts w:ascii="Minion Pro" w:hAnsi="Minion Pro" w:cs="Times New Roman"/>
          <w:iCs/>
          <w:sz w:val="24"/>
          <w:szCs w:val="24"/>
          <w:lang w:val="en-US"/>
        </w:rPr>
        <w:t>. II. California: Sage Publications Inc., 1994.</w:t>
      </w:r>
    </w:p>
    <w:p w14:paraId="23F73F5D" w14:textId="77777777" w:rsidR="008F0D97" w:rsidRPr="008F0D97" w:rsidRDefault="008F0D97" w:rsidP="008F0D97">
      <w:pPr>
        <w:spacing w:line="240" w:lineRule="auto"/>
        <w:ind w:left="851" w:hanging="851"/>
        <w:jc w:val="both"/>
        <w:rPr>
          <w:rFonts w:ascii="Minion Pro" w:hAnsi="Minion Pro" w:cs="Times New Roman"/>
          <w:iCs/>
          <w:sz w:val="24"/>
          <w:szCs w:val="24"/>
          <w:lang w:val="en-US"/>
        </w:rPr>
      </w:pPr>
      <w:r w:rsidRPr="008F0D97">
        <w:rPr>
          <w:rFonts w:ascii="Minion Pro" w:hAnsi="Minion Pro" w:cs="Times New Roman"/>
          <w:iCs/>
          <w:sz w:val="24"/>
          <w:szCs w:val="24"/>
          <w:lang w:val="en-US"/>
        </w:rPr>
        <w:t xml:space="preserve">Abdullah, </w:t>
      </w:r>
      <w:proofErr w:type="spellStart"/>
      <w:r w:rsidRPr="008F0D97">
        <w:rPr>
          <w:rFonts w:ascii="Minion Pro" w:hAnsi="Minion Pro" w:cs="Times New Roman"/>
          <w:iCs/>
          <w:sz w:val="24"/>
          <w:szCs w:val="24"/>
          <w:lang w:val="en-US"/>
        </w:rPr>
        <w:t>Anzar</w:t>
      </w:r>
      <w:proofErr w:type="spellEnd"/>
      <w:r w:rsidRPr="008F0D97">
        <w:rPr>
          <w:rFonts w:ascii="Minion Pro" w:hAnsi="Minion Pro" w:cs="Times New Roman"/>
          <w:iCs/>
          <w:sz w:val="24"/>
          <w:szCs w:val="24"/>
          <w:lang w:val="en-US"/>
        </w:rPr>
        <w:t>. “</w:t>
      </w:r>
      <w:proofErr w:type="spellStart"/>
      <w:r w:rsidRPr="008F0D97">
        <w:rPr>
          <w:rFonts w:ascii="Minion Pro" w:hAnsi="Minion Pro" w:cs="Times New Roman"/>
          <w:i/>
          <w:iCs/>
          <w:sz w:val="24"/>
          <w:szCs w:val="24"/>
          <w:lang w:val="en-US"/>
        </w:rPr>
        <w:t>Nahdatul</w:t>
      </w:r>
      <w:proofErr w:type="spellEnd"/>
      <w:r w:rsidRPr="008F0D97">
        <w:rPr>
          <w:rFonts w:ascii="Minion Pro" w:hAnsi="Minion Pro" w:cs="Times New Roman"/>
          <w:i/>
          <w:iCs/>
          <w:sz w:val="24"/>
          <w:szCs w:val="24"/>
          <w:lang w:val="en-US"/>
        </w:rPr>
        <w:t xml:space="preserve"> Ulama</w:t>
      </w:r>
      <w:r w:rsidRPr="008F0D97">
        <w:rPr>
          <w:rFonts w:ascii="Minion Pro" w:hAnsi="Minion Pro" w:cs="Times New Roman"/>
          <w:iCs/>
          <w:sz w:val="24"/>
          <w:szCs w:val="24"/>
          <w:lang w:val="en-US"/>
        </w:rPr>
        <w:t xml:space="preserve"> and the </w:t>
      </w:r>
      <w:proofErr w:type="spellStart"/>
      <w:r w:rsidRPr="008F0D97">
        <w:rPr>
          <w:rFonts w:ascii="Minion Pro" w:hAnsi="Minion Pro" w:cs="Times New Roman"/>
          <w:i/>
          <w:iCs/>
          <w:sz w:val="24"/>
          <w:szCs w:val="24"/>
          <w:lang w:val="en-US"/>
        </w:rPr>
        <w:t>Khittah</w:t>
      </w:r>
      <w:proofErr w:type="spellEnd"/>
      <w:r w:rsidRPr="008F0D97">
        <w:rPr>
          <w:rFonts w:ascii="Minion Pro" w:hAnsi="Minion Pro" w:cs="Times New Roman"/>
          <w:iCs/>
          <w:sz w:val="24"/>
          <w:szCs w:val="24"/>
          <w:lang w:val="en-US"/>
        </w:rPr>
        <w:t xml:space="preserve"> Revitalization: A Futuristic Critical Reflection for the Largest Organization in Indonesia”. </w:t>
      </w:r>
      <w:proofErr w:type="spellStart"/>
      <w:r w:rsidRPr="008F0D97">
        <w:rPr>
          <w:rFonts w:ascii="Minion Pro" w:hAnsi="Minion Pro" w:cs="Times New Roman"/>
          <w:i/>
          <w:iCs/>
          <w:sz w:val="24"/>
          <w:szCs w:val="24"/>
          <w:lang w:val="en-US"/>
        </w:rPr>
        <w:t>Tawarikh</w:t>
      </w:r>
      <w:proofErr w:type="spellEnd"/>
      <w:r w:rsidRPr="008F0D97">
        <w:rPr>
          <w:rFonts w:ascii="Minion Pro" w:hAnsi="Minion Pro" w:cs="Times New Roman"/>
          <w:i/>
          <w:iCs/>
          <w:sz w:val="24"/>
          <w:szCs w:val="24"/>
          <w:lang w:val="en-US"/>
        </w:rPr>
        <w:t>: International Journal for Historical Studies</w:t>
      </w:r>
      <w:r w:rsidRPr="008F0D97">
        <w:rPr>
          <w:rFonts w:ascii="Minion Pro" w:hAnsi="Minion Pro" w:cs="Times New Roman"/>
          <w:iCs/>
          <w:sz w:val="24"/>
          <w:szCs w:val="24"/>
          <w:lang w:val="en-US"/>
        </w:rPr>
        <w:t>. Vol. 3, No. 1 (2011).</w:t>
      </w:r>
    </w:p>
    <w:p w14:paraId="5F469E3D" w14:textId="77777777" w:rsidR="008F0D97" w:rsidRPr="008F0D97" w:rsidRDefault="008F0D97" w:rsidP="008F0D97">
      <w:pPr>
        <w:spacing w:line="240" w:lineRule="auto"/>
        <w:ind w:left="851" w:hanging="851"/>
        <w:jc w:val="both"/>
        <w:rPr>
          <w:rFonts w:ascii="Minion Pro" w:hAnsi="Minion Pro" w:cs="Times New Roman"/>
          <w:iCs/>
          <w:sz w:val="24"/>
          <w:szCs w:val="24"/>
        </w:rPr>
      </w:pPr>
      <w:proofErr w:type="spellStart"/>
      <w:r w:rsidRPr="008F0D97">
        <w:rPr>
          <w:rFonts w:ascii="Minion Pro" w:hAnsi="Minion Pro" w:cs="Times New Roman"/>
          <w:iCs/>
          <w:sz w:val="24"/>
          <w:szCs w:val="24"/>
          <w:lang w:val="en-US"/>
        </w:rPr>
        <w:t>Azizy</w:t>
      </w:r>
      <w:proofErr w:type="spellEnd"/>
      <w:r w:rsidRPr="008F0D97">
        <w:rPr>
          <w:rFonts w:ascii="Minion Pro" w:hAnsi="Minion Pro" w:cs="Times New Roman"/>
          <w:iCs/>
          <w:sz w:val="24"/>
          <w:szCs w:val="24"/>
          <w:lang w:val="en-US"/>
        </w:rPr>
        <w:t xml:space="preserve">, A. </w:t>
      </w:r>
      <w:proofErr w:type="spellStart"/>
      <w:r w:rsidRPr="008F0D97">
        <w:rPr>
          <w:rFonts w:ascii="Minion Pro" w:hAnsi="Minion Pro" w:cs="Times New Roman"/>
          <w:iCs/>
          <w:sz w:val="24"/>
          <w:szCs w:val="24"/>
          <w:lang w:val="en-US"/>
        </w:rPr>
        <w:t>Qodri</w:t>
      </w:r>
      <w:proofErr w:type="spellEnd"/>
      <w:r w:rsidRPr="008F0D97">
        <w:rPr>
          <w:rFonts w:ascii="Minion Pro" w:hAnsi="Minion Pro" w:cs="Times New Roman"/>
          <w:iCs/>
          <w:sz w:val="24"/>
          <w:szCs w:val="24"/>
          <w:lang w:val="en-US"/>
        </w:rPr>
        <w:t xml:space="preserve"> A. </w:t>
      </w:r>
      <w:r w:rsidRPr="008F0D97">
        <w:rPr>
          <w:rFonts w:ascii="Minion Pro" w:hAnsi="Minion Pro" w:cs="Times New Roman"/>
          <w:i/>
          <w:iCs/>
          <w:sz w:val="24"/>
          <w:szCs w:val="24"/>
          <w:lang w:val="en-US"/>
        </w:rPr>
        <w:t xml:space="preserve">Reformasi </w:t>
      </w:r>
      <w:proofErr w:type="spellStart"/>
      <w:r w:rsidRPr="008F0D97">
        <w:rPr>
          <w:rFonts w:ascii="Minion Pro" w:hAnsi="Minion Pro" w:cs="Times New Roman"/>
          <w:i/>
          <w:iCs/>
          <w:sz w:val="24"/>
          <w:szCs w:val="24"/>
          <w:lang w:val="en-US"/>
        </w:rPr>
        <w:t>Bermazhab</w:t>
      </w:r>
      <w:proofErr w:type="spellEnd"/>
      <w:r w:rsidRPr="008F0D97">
        <w:rPr>
          <w:rFonts w:ascii="Minion Pro" w:hAnsi="Minion Pro" w:cs="Times New Roman"/>
          <w:i/>
          <w:iCs/>
          <w:sz w:val="24"/>
          <w:szCs w:val="24"/>
          <w:lang w:val="en-US"/>
        </w:rPr>
        <w:t xml:space="preserve">: </w:t>
      </w:r>
      <w:proofErr w:type="spellStart"/>
      <w:r w:rsidRPr="008F0D97">
        <w:rPr>
          <w:rFonts w:ascii="Minion Pro" w:hAnsi="Minion Pro" w:cs="Times New Roman"/>
          <w:i/>
          <w:iCs/>
          <w:sz w:val="24"/>
          <w:szCs w:val="24"/>
          <w:lang w:val="en-US"/>
        </w:rPr>
        <w:t>Sebuah</w:t>
      </w:r>
      <w:proofErr w:type="spellEnd"/>
      <w:r w:rsidRPr="008F0D97">
        <w:rPr>
          <w:rFonts w:ascii="Minion Pro" w:hAnsi="Minion Pro" w:cs="Times New Roman"/>
          <w:i/>
          <w:iCs/>
          <w:sz w:val="24"/>
          <w:szCs w:val="24"/>
          <w:lang w:val="en-US"/>
        </w:rPr>
        <w:t xml:space="preserve"> </w:t>
      </w:r>
      <w:proofErr w:type="spellStart"/>
      <w:r w:rsidRPr="008F0D97">
        <w:rPr>
          <w:rFonts w:ascii="Minion Pro" w:hAnsi="Minion Pro" w:cs="Times New Roman"/>
          <w:i/>
          <w:iCs/>
          <w:sz w:val="24"/>
          <w:szCs w:val="24"/>
          <w:lang w:val="en-US"/>
        </w:rPr>
        <w:t>Ikhtiar</w:t>
      </w:r>
      <w:proofErr w:type="spellEnd"/>
      <w:r w:rsidRPr="008F0D97">
        <w:rPr>
          <w:rFonts w:ascii="Minion Pro" w:hAnsi="Minion Pro" w:cs="Times New Roman"/>
          <w:i/>
          <w:iCs/>
          <w:sz w:val="24"/>
          <w:szCs w:val="24"/>
          <w:lang w:val="en-US"/>
        </w:rPr>
        <w:t xml:space="preserve"> </w:t>
      </w:r>
      <w:proofErr w:type="spellStart"/>
      <w:r w:rsidRPr="008F0D97">
        <w:rPr>
          <w:rFonts w:ascii="Minion Pro" w:hAnsi="Minion Pro" w:cs="Times New Roman"/>
          <w:i/>
          <w:iCs/>
          <w:sz w:val="24"/>
          <w:szCs w:val="24"/>
          <w:lang w:val="en-US"/>
        </w:rPr>
        <w:t>Menuju</w:t>
      </w:r>
      <w:proofErr w:type="spellEnd"/>
      <w:r w:rsidRPr="008F0D97">
        <w:rPr>
          <w:rFonts w:ascii="Minion Pro" w:hAnsi="Minion Pro" w:cs="Times New Roman"/>
          <w:i/>
          <w:iCs/>
          <w:sz w:val="24"/>
          <w:szCs w:val="24"/>
          <w:lang w:val="en-US"/>
        </w:rPr>
        <w:t xml:space="preserve"> Ijtihad </w:t>
      </w:r>
      <w:proofErr w:type="spellStart"/>
      <w:r w:rsidRPr="008F0D97">
        <w:rPr>
          <w:rFonts w:ascii="Minion Pro" w:hAnsi="Minion Pro" w:cs="Times New Roman"/>
          <w:i/>
          <w:iCs/>
          <w:sz w:val="24"/>
          <w:szCs w:val="24"/>
          <w:lang w:val="en-US"/>
        </w:rPr>
        <w:t>Sesuai</w:t>
      </w:r>
      <w:proofErr w:type="spellEnd"/>
      <w:r w:rsidRPr="008F0D97">
        <w:rPr>
          <w:rFonts w:ascii="Minion Pro" w:hAnsi="Minion Pro" w:cs="Times New Roman"/>
          <w:i/>
          <w:iCs/>
          <w:sz w:val="24"/>
          <w:szCs w:val="24"/>
          <w:lang w:val="en-US"/>
        </w:rPr>
        <w:t xml:space="preserve"> </w:t>
      </w:r>
      <w:proofErr w:type="spellStart"/>
      <w:r w:rsidRPr="008F0D97">
        <w:rPr>
          <w:rFonts w:ascii="Minion Pro" w:hAnsi="Minion Pro" w:cs="Times New Roman"/>
          <w:i/>
          <w:iCs/>
          <w:sz w:val="24"/>
          <w:szCs w:val="24"/>
          <w:lang w:val="en-US"/>
        </w:rPr>
        <w:t>Saintifik</w:t>
      </w:r>
      <w:proofErr w:type="spellEnd"/>
      <w:r w:rsidRPr="008F0D97">
        <w:rPr>
          <w:rFonts w:ascii="Minion Pro" w:hAnsi="Minion Pro" w:cs="Times New Roman"/>
          <w:i/>
          <w:iCs/>
          <w:sz w:val="24"/>
          <w:szCs w:val="24"/>
          <w:lang w:val="en-US"/>
        </w:rPr>
        <w:t>-Modern</w:t>
      </w:r>
      <w:r w:rsidRPr="008F0D97">
        <w:rPr>
          <w:rFonts w:ascii="Minion Pro" w:hAnsi="Minion Pro" w:cs="Times New Roman"/>
          <w:iCs/>
          <w:sz w:val="24"/>
          <w:szCs w:val="24"/>
        </w:rPr>
        <w:t>.</w:t>
      </w:r>
      <w:r w:rsidRPr="008F0D97">
        <w:rPr>
          <w:rFonts w:ascii="Minion Pro" w:hAnsi="Minion Pro" w:cs="Times New Roman"/>
          <w:iCs/>
          <w:sz w:val="24"/>
          <w:szCs w:val="24"/>
          <w:lang w:val="en-US"/>
        </w:rPr>
        <w:t xml:space="preserve"> </w:t>
      </w:r>
      <w:r w:rsidRPr="008F0D97">
        <w:rPr>
          <w:rFonts w:ascii="Minion Pro" w:hAnsi="Minion Pro" w:cs="Times New Roman"/>
          <w:iCs/>
          <w:sz w:val="24"/>
          <w:szCs w:val="24"/>
        </w:rPr>
        <w:t>C</w:t>
      </w:r>
      <w:r w:rsidRPr="008F0D97">
        <w:rPr>
          <w:rFonts w:ascii="Minion Pro" w:hAnsi="Minion Pro" w:cs="Times New Roman"/>
          <w:iCs/>
          <w:sz w:val="24"/>
          <w:szCs w:val="24"/>
          <w:lang w:val="en-US"/>
        </w:rPr>
        <w:t>tk. I</w:t>
      </w:r>
      <w:r w:rsidRPr="008F0D97">
        <w:rPr>
          <w:rFonts w:ascii="Minion Pro" w:hAnsi="Minion Pro" w:cs="Times New Roman"/>
          <w:iCs/>
          <w:sz w:val="24"/>
          <w:szCs w:val="24"/>
        </w:rPr>
        <w:t xml:space="preserve">. </w:t>
      </w:r>
      <w:r w:rsidRPr="008F0D97">
        <w:rPr>
          <w:rFonts w:ascii="Minion Pro" w:hAnsi="Minion Pro" w:cs="Times New Roman"/>
          <w:iCs/>
          <w:sz w:val="24"/>
          <w:szCs w:val="24"/>
          <w:lang w:val="en-US"/>
        </w:rPr>
        <w:t xml:space="preserve">Bandung: </w:t>
      </w:r>
      <w:proofErr w:type="spellStart"/>
      <w:r w:rsidRPr="008F0D97">
        <w:rPr>
          <w:rFonts w:ascii="Minion Pro" w:hAnsi="Minion Pro" w:cs="Times New Roman"/>
          <w:iCs/>
          <w:sz w:val="24"/>
          <w:szCs w:val="24"/>
          <w:lang w:val="en-US"/>
        </w:rPr>
        <w:t>Mizan</w:t>
      </w:r>
      <w:proofErr w:type="spellEnd"/>
      <w:r w:rsidRPr="008F0D97">
        <w:rPr>
          <w:rFonts w:ascii="Minion Pro" w:hAnsi="Minion Pro" w:cs="Times New Roman"/>
          <w:iCs/>
          <w:sz w:val="24"/>
          <w:szCs w:val="24"/>
          <w:lang w:val="en-US"/>
        </w:rPr>
        <w:t>, 2003</w:t>
      </w:r>
      <w:r w:rsidRPr="008F0D97">
        <w:rPr>
          <w:rFonts w:ascii="Minion Pro" w:hAnsi="Minion Pro" w:cs="Times New Roman"/>
          <w:iCs/>
          <w:sz w:val="24"/>
          <w:szCs w:val="24"/>
        </w:rPr>
        <w:t>.</w:t>
      </w:r>
    </w:p>
    <w:p w14:paraId="333160A1" w14:textId="77777777" w:rsidR="008F0D97" w:rsidRPr="008F0D97" w:rsidRDefault="008F0D97" w:rsidP="008F0D97">
      <w:pPr>
        <w:spacing w:line="240" w:lineRule="auto"/>
        <w:ind w:left="851" w:hanging="851"/>
        <w:jc w:val="both"/>
        <w:rPr>
          <w:rFonts w:ascii="Minion Pro" w:hAnsi="Minion Pro" w:cs="Times New Roman"/>
          <w:iCs/>
          <w:sz w:val="24"/>
          <w:szCs w:val="24"/>
        </w:rPr>
      </w:pPr>
      <w:proofErr w:type="spellStart"/>
      <w:r w:rsidRPr="008F0D97">
        <w:rPr>
          <w:rFonts w:ascii="Minion Pro" w:hAnsi="Minion Pro" w:cs="Times New Roman"/>
          <w:iCs/>
          <w:sz w:val="24"/>
          <w:szCs w:val="24"/>
          <w:lang w:val="en-US"/>
        </w:rPr>
        <w:t>Adib</w:t>
      </w:r>
      <w:proofErr w:type="spellEnd"/>
      <w:r w:rsidRPr="008F0D97">
        <w:rPr>
          <w:rFonts w:ascii="Minion Pro" w:hAnsi="Minion Pro" w:cs="Times New Roman"/>
          <w:iCs/>
          <w:sz w:val="24"/>
          <w:szCs w:val="24"/>
          <w:lang w:val="en-US"/>
        </w:rPr>
        <w:t>,</w:t>
      </w:r>
      <w:r w:rsidRPr="008F0D97">
        <w:rPr>
          <w:rFonts w:ascii="Minion Pro" w:hAnsi="Minion Pro" w:cs="Times New Roman"/>
          <w:iCs/>
          <w:sz w:val="24"/>
          <w:szCs w:val="24"/>
        </w:rPr>
        <w:t xml:space="preserve"> Muhammad.</w:t>
      </w:r>
      <w:r w:rsidRPr="008F0D97">
        <w:rPr>
          <w:rFonts w:ascii="Minion Pro" w:hAnsi="Minion Pro" w:cs="Times New Roman"/>
          <w:iCs/>
          <w:sz w:val="24"/>
          <w:szCs w:val="24"/>
          <w:lang w:val="en-US"/>
        </w:rPr>
        <w:t xml:space="preserve"> </w:t>
      </w:r>
      <w:proofErr w:type="spellStart"/>
      <w:r w:rsidRPr="008F0D97">
        <w:rPr>
          <w:rFonts w:ascii="Minion Pro" w:hAnsi="Minion Pro" w:cs="Times New Roman"/>
          <w:i/>
          <w:iCs/>
          <w:sz w:val="24"/>
          <w:szCs w:val="24"/>
          <w:lang w:val="en-US"/>
        </w:rPr>
        <w:t>Kritik</w:t>
      </w:r>
      <w:proofErr w:type="spellEnd"/>
      <w:r w:rsidRPr="008F0D97">
        <w:rPr>
          <w:rFonts w:ascii="Minion Pro" w:hAnsi="Minion Pro" w:cs="Times New Roman"/>
          <w:i/>
          <w:iCs/>
          <w:sz w:val="24"/>
          <w:szCs w:val="24"/>
          <w:lang w:val="en-US"/>
        </w:rPr>
        <w:t xml:space="preserve"> </w:t>
      </w:r>
      <w:proofErr w:type="spellStart"/>
      <w:r w:rsidRPr="008F0D97">
        <w:rPr>
          <w:rFonts w:ascii="Minion Pro" w:hAnsi="Minion Pro" w:cs="Times New Roman"/>
          <w:i/>
          <w:iCs/>
          <w:sz w:val="24"/>
          <w:szCs w:val="24"/>
          <w:lang w:val="en-US"/>
        </w:rPr>
        <w:t>Nalar</w:t>
      </w:r>
      <w:proofErr w:type="spellEnd"/>
      <w:r w:rsidRPr="008F0D97">
        <w:rPr>
          <w:rFonts w:ascii="Minion Pro" w:hAnsi="Minion Pro" w:cs="Times New Roman"/>
          <w:i/>
          <w:iCs/>
          <w:sz w:val="24"/>
          <w:szCs w:val="24"/>
          <w:lang w:val="en-US"/>
        </w:rPr>
        <w:t xml:space="preserve"> </w:t>
      </w:r>
      <w:proofErr w:type="spellStart"/>
      <w:r w:rsidRPr="008F0D97">
        <w:rPr>
          <w:rFonts w:ascii="Minion Pro" w:hAnsi="Minion Pro" w:cs="Times New Roman"/>
          <w:i/>
          <w:iCs/>
          <w:sz w:val="24"/>
          <w:szCs w:val="24"/>
          <w:lang w:val="en-US"/>
        </w:rPr>
        <w:t>Fikih</w:t>
      </w:r>
      <w:proofErr w:type="spellEnd"/>
      <w:r w:rsidRPr="008F0D97">
        <w:rPr>
          <w:rFonts w:ascii="Minion Pro" w:hAnsi="Minion Pro" w:cs="Times New Roman"/>
          <w:i/>
          <w:iCs/>
          <w:sz w:val="24"/>
          <w:szCs w:val="24"/>
          <w:lang w:val="en-US"/>
        </w:rPr>
        <w:t xml:space="preserve"> </w:t>
      </w:r>
      <w:proofErr w:type="spellStart"/>
      <w:r w:rsidRPr="008F0D97">
        <w:rPr>
          <w:rFonts w:ascii="Minion Pro" w:hAnsi="Minion Pro" w:cs="Times New Roman"/>
          <w:i/>
          <w:iCs/>
          <w:sz w:val="24"/>
          <w:szCs w:val="24"/>
          <w:lang w:val="en-US"/>
        </w:rPr>
        <w:t>Nahdlatul</w:t>
      </w:r>
      <w:proofErr w:type="spellEnd"/>
      <w:r w:rsidRPr="008F0D97">
        <w:rPr>
          <w:rFonts w:ascii="Minion Pro" w:hAnsi="Minion Pro" w:cs="Times New Roman"/>
          <w:i/>
          <w:iCs/>
          <w:sz w:val="24"/>
          <w:szCs w:val="24"/>
          <w:lang w:val="en-US"/>
        </w:rPr>
        <w:t xml:space="preserve"> Ulama</w:t>
      </w:r>
      <w:r w:rsidRPr="008F0D97">
        <w:rPr>
          <w:rFonts w:ascii="Minion Pro" w:hAnsi="Minion Pro" w:cs="Times New Roman"/>
          <w:iCs/>
          <w:sz w:val="24"/>
          <w:szCs w:val="24"/>
        </w:rPr>
        <w:t>.</w:t>
      </w:r>
      <w:r w:rsidRPr="008F0D97">
        <w:rPr>
          <w:rFonts w:ascii="Minion Pro" w:hAnsi="Minion Pro" w:cs="Times New Roman"/>
          <w:iCs/>
          <w:sz w:val="24"/>
          <w:szCs w:val="24"/>
          <w:lang w:val="en-US"/>
        </w:rPr>
        <w:t xml:space="preserve"> </w:t>
      </w:r>
      <w:r w:rsidRPr="008F0D97">
        <w:rPr>
          <w:rFonts w:ascii="Minion Pro" w:hAnsi="Minion Pro" w:cs="Times New Roman"/>
          <w:iCs/>
          <w:sz w:val="24"/>
          <w:szCs w:val="24"/>
        </w:rPr>
        <w:t>C</w:t>
      </w:r>
      <w:r w:rsidRPr="008F0D97">
        <w:rPr>
          <w:rFonts w:ascii="Minion Pro" w:hAnsi="Minion Pro" w:cs="Times New Roman"/>
          <w:iCs/>
          <w:sz w:val="24"/>
          <w:szCs w:val="24"/>
          <w:lang w:val="en-US"/>
        </w:rPr>
        <w:t>tk. I</w:t>
      </w:r>
      <w:r w:rsidRPr="008F0D97">
        <w:rPr>
          <w:rFonts w:ascii="Minion Pro" w:hAnsi="Minion Pro" w:cs="Times New Roman"/>
          <w:iCs/>
          <w:sz w:val="24"/>
          <w:szCs w:val="24"/>
        </w:rPr>
        <w:t xml:space="preserve">. </w:t>
      </w:r>
      <w:r w:rsidRPr="008F0D97">
        <w:rPr>
          <w:rFonts w:ascii="Minion Pro" w:hAnsi="Minion Pro" w:cs="Times New Roman"/>
          <w:iCs/>
          <w:sz w:val="24"/>
          <w:szCs w:val="24"/>
          <w:lang w:val="en-US"/>
        </w:rPr>
        <w:t>Malang: Kiri Sufi, 2018</w:t>
      </w:r>
      <w:r w:rsidRPr="008F0D97">
        <w:rPr>
          <w:rFonts w:ascii="Minion Pro" w:hAnsi="Minion Pro" w:cs="Times New Roman"/>
          <w:iCs/>
          <w:sz w:val="24"/>
          <w:szCs w:val="24"/>
        </w:rPr>
        <w:t>.</w:t>
      </w:r>
    </w:p>
    <w:p w14:paraId="0854CB7F" w14:textId="77777777" w:rsidR="008F0D97" w:rsidRPr="008F0D97" w:rsidRDefault="008F0D97" w:rsidP="008F0D97">
      <w:pPr>
        <w:spacing w:line="240" w:lineRule="auto"/>
        <w:ind w:left="851" w:hanging="851"/>
        <w:jc w:val="both"/>
        <w:rPr>
          <w:rFonts w:ascii="Minion Pro" w:hAnsi="Minion Pro" w:cs="Times New Roman"/>
          <w:iCs/>
          <w:sz w:val="24"/>
          <w:szCs w:val="24"/>
        </w:rPr>
      </w:pPr>
      <w:r w:rsidRPr="008F0D97">
        <w:rPr>
          <w:rFonts w:ascii="Minion Pro" w:hAnsi="Minion Pro" w:cs="Times New Roman"/>
          <w:iCs/>
          <w:sz w:val="24"/>
          <w:szCs w:val="24"/>
        </w:rPr>
        <w:t>Aminuddin, Luthfi Hadi. “</w:t>
      </w:r>
      <w:r w:rsidRPr="008F0D97">
        <w:rPr>
          <w:rFonts w:ascii="Minion Pro" w:hAnsi="Minion Pro" w:cs="Times New Roman"/>
          <w:i/>
          <w:iCs/>
          <w:sz w:val="24"/>
          <w:szCs w:val="24"/>
        </w:rPr>
        <w:t>Il</w:t>
      </w:r>
      <w:r w:rsidRPr="008F0D97">
        <w:rPr>
          <w:rFonts w:ascii="Cambria" w:hAnsi="Cambria" w:cs="Cambria"/>
          <w:i/>
          <w:iCs/>
          <w:sz w:val="24"/>
          <w:szCs w:val="24"/>
        </w:rPr>
        <w:t>ḥ</w:t>
      </w:r>
      <w:r w:rsidRPr="008F0D97">
        <w:rPr>
          <w:rFonts w:ascii="Minion Pro" w:hAnsi="Minion Pro" w:cs="Times New Roman"/>
          <w:i/>
          <w:iCs/>
          <w:sz w:val="24"/>
          <w:szCs w:val="24"/>
        </w:rPr>
        <w:t>āq al-Masā’il bi Na</w:t>
      </w:r>
      <w:r w:rsidRPr="008F0D97">
        <w:rPr>
          <w:rFonts w:ascii="Cambria" w:hAnsi="Cambria" w:cs="Cambria"/>
          <w:i/>
          <w:iCs/>
          <w:sz w:val="24"/>
          <w:szCs w:val="24"/>
        </w:rPr>
        <w:t>ẓ</w:t>
      </w:r>
      <w:r w:rsidRPr="008F0D97">
        <w:rPr>
          <w:rFonts w:ascii="Minion Pro" w:hAnsi="Minion Pro" w:cs="Times New Roman"/>
          <w:i/>
          <w:iCs/>
          <w:sz w:val="24"/>
          <w:szCs w:val="24"/>
        </w:rPr>
        <w:t>ā’irihā</w:t>
      </w:r>
      <w:r w:rsidRPr="008F0D97">
        <w:rPr>
          <w:rFonts w:ascii="Minion Pro" w:hAnsi="Minion Pro" w:cs="Times New Roman"/>
          <w:iCs/>
          <w:sz w:val="24"/>
          <w:szCs w:val="24"/>
        </w:rPr>
        <w:t xml:space="preserve"> dan Penerapannya dalam </w:t>
      </w:r>
      <w:r w:rsidRPr="008F0D97">
        <w:rPr>
          <w:rFonts w:ascii="Minion Pro" w:hAnsi="Minion Pro" w:cs="Times New Roman"/>
          <w:i/>
          <w:iCs/>
          <w:sz w:val="24"/>
          <w:szCs w:val="24"/>
        </w:rPr>
        <w:t>Ba</w:t>
      </w:r>
      <w:r w:rsidRPr="008F0D97">
        <w:rPr>
          <w:rFonts w:ascii="Cambria" w:hAnsi="Cambria" w:cs="Cambria"/>
          <w:i/>
          <w:iCs/>
          <w:sz w:val="24"/>
          <w:szCs w:val="24"/>
        </w:rPr>
        <w:t>ḥ</w:t>
      </w:r>
      <w:r w:rsidRPr="008F0D97">
        <w:rPr>
          <w:rFonts w:ascii="Minion Pro" w:hAnsi="Minion Pro" w:cs="Times New Roman"/>
          <w:i/>
          <w:iCs/>
          <w:sz w:val="24"/>
          <w:szCs w:val="24"/>
        </w:rPr>
        <w:t>th al-Masā’il</w:t>
      </w:r>
      <w:r w:rsidRPr="008F0D97">
        <w:rPr>
          <w:rFonts w:ascii="Minion Pro" w:hAnsi="Minion Pro" w:cs="Times New Roman"/>
          <w:iCs/>
          <w:sz w:val="24"/>
          <w:szCs w:val="24"/>
        </w:rPr>
        <w:t xml:space="preserve">”. </w:t>
      </w:r>
      <w:r w:rsidRPr="008F0D97">
        <w:rPr>
          <w:rFonts w:ascii="Minion Pro" w:hAnsi="Minion Pro" w:cs="Times New Roman"/>
          <w:i/>
          <w:iCs/>
          <w:sz w:val="24"/>
          <w:szCs w:val="24"/>
        </w:rPr>
        <w:t>Al-</w:t>
      </w:r>
      <w:bookmarkStart w:id="0" w:name="_Hlk79826034"/>
      <w:r w:rsidRPr="008F0D97">
        <w:rPr>
          <w:rFonts w:ascii="Minion Pro" w:hAnsi="Minion Pro" w:cs="Times New Roman"/>
          <w:i/>
          <w:iCs/>
          <w:sz w:val="24"/>
          <w:szCs w:val="24"/>
        </w:rPr>
        <w:t>Tahrir: Jurnal Pemikiran Islam</w:t>
      </w:r>
      <w:bookmarkEnd w:id="0"/>
      <w:r w:rsidRPr="008F0D97">
        <w:rPr>
          <w:rFonts w:ascii="Minion Pro" w:hAnsi="Minion Pro" w:cs="Times New Roman"/>
          <w:iCs/>
          <w:sz w:val="24"/>
          <w:szCs w:val="24"/>
        </w:rPr>
        <w:t>. Vol. 13, No. 2 (Nopember 2013.</w:t>
      </w:r>
    </w:p>
    <w:p w14:paraId="380F73CB" w14:textId="77777777" w:rsidR="008F0D97" w:rsidRPr="008F0D97" w:rsidRDefault="008F0D97" w:rsidP="008F0D97">
      <w:pPr>
        <w:spacing w:line="240" w:lineRule="auto"/>
        <w:ind w:left="851" w:hanging="851"/>
        <w:jc w:val="both"/>
        <w:rPr>
          <w:rFonts w:ascii="Minion Pro" w:hAnsi="Minion Pro" w:cs="Times New Roman"/>
          <w:iCs/>
          <w:sz w:val="24"/>
          <w:szCs w:val="24"/>
        </w:rPr>
      </w:pPr>
      <w:r w:rsidRPr="008F0D97">
        <w:rPr>
          <w:rFonts w:ascii="Minion Pro" w:hAnsi="Minion Pro" w:cs="Times New Roman"/>
          <w:iCs/>
          <w:sz w:val="24"/>
          <w:szCs w:val="24"/>
        </w:rPr>
        <w:lastRenderedPageBreak/>
        <w:t xml:space="preserve">Mahfudh, Sahal. “Bahtsul Nasa’il dan Istinbath Hukum NU: Sebuah Catatan Pendek”. Kata Pengantar dalam M. Imdadun Rahmat </w:t>
      </w:r>
      <w:r w:rsidRPr="008F0D97">
        <w:rPr>
          <w:rFonts w:ascii="Minion Pro" w:hAnsi="Minion Pro" w:cs="Times New Roman"/>
          <w:i/>
          <w:iCs/>
          <w:sz w:val="24"/>
          <w:szCs w:val="24"/>
        </w:rPr>
        <w:t>et al.</w:t>
      </w:r>
      <w:r w:rsidRPr="008F0D97">
        <w:rPr>
          <w:rFonts w:ascii="Minion Pro" w:hAnsi="Minion Pro" w:cs="Times New Roman"/>
          <w:iCs/>
          <w:sz w:val="24"/>
          <w:szCs w:val="24"/>
        </w:rPr>
        <w:t xml:space="preserve"> </w:t>
      </w:r>
      <w:r w:rsidRPr="008F0D97">
        <w:rPr>
          <w:rFonts w:ascii="Minion Pro" w:hAnsi="Minion Pro" w:cs="Times New Roman"/>
          <w:i/>
          <w:iCs/>
          <w:sz w:val="24"/>
          <w:szCs w:val="24"/>
        </w:rPr>
        <w:t>Kritik Nalar Fiqih NU: Transformasi Paradigma Bahtsul Masail</w:t>
      </w:r>
      <w:r w:rsidRPr="008F0D97">
        <w:rPr>
          <w:rFonts w:ascii="Minion Pro" w:hAnsi="Minion Pro" w:cs="Times New Roman"/>
          <w:iCs/>
          <w:sz w:val="24"/>
          <w:szCs w:val="24"/>
        </w:rPr>
        <w:t>. Ctk. I. Jakarta: Lakpesdam, 2002.</w:t>
      </w:r>
    </w:p>
    <w:p w14:paraId="43DA167A" w14:textId="77777777" w:rsidR="008F0D97" w:rsidRPr="008F0D97" w:rsidRDefault="008F0D97" w:rsidP="008F0D97">
      <w:pPr>
        <w:spacing w:line="240" w:lineRule="auto"/>
        <w:ind w:left="851" w:hanging="851"/>
        <w:jc w:val="both"/>
        <w:rPr>
          <w:rFonts w:ascii="Minion Pro" w:hAnsi="Minion Pro" w:cs="Times New Roman"/>
          <w:iCs/>
          <w:sz w:val="24"/>
          <w:szCs w:val="24"/>
        </w:rPr>
      </w:pPr>
      <w:proofErr w:type="spellStart"/>
      <w:r w:rsidRPr="008F0D97">
        <w:rPr>
          <w:rFonts w:ascii="Minion Pro" w:hAnsi="Minion Pro" w:cs="Times New Roman"/>
          <w:iCs/>
          <w:sz w:val="24"/>
          <w:szCs w:val="24"/>
          <w:lang w:val="en-US"/>
        </w:rPr>
        <w:t>Dewi</w:t>
      </w:r>
      <w:proofErr w:type="spellEnd"/>
      <w:r w:rsidRPr="008F0D97">
        <w:rPr>
          <w:rFonts w:ascii="Minion Pro" w:hAnsi="Minion Pro" w:cs="Times New Roman"/>
          <w:iCs/>
          <w:sz w:val="24"/>
          <w:szCs w:val="24"/>
          <w:lang w:val="en-US"/>
        </w:rPr>
        <w:t xml:space="preserve">, </w:t>
      </w:r>
      <w:proofErr w:type="spellStart"/>
      <w:r w:rsidRPr="008F0D97">
        <w:rPr>
          <w:rFonts w:ascii="Minion Pro" w:hAnsi="Minion Pro" w:cs="Times New Roman"/>
          <w:iCs/>
          <w:sz w:val="24"/>
          <w:szCs w:val="24"/>
          <w:lang w:val="en-US"/>
        </w:rPr>
        <w:t>Kurniawati</w:t>
      </w:r>
      <w:proofErr w:type="spellEnd"/>
      <w:r w:rsidRPr="008F0D97">
        <w:rPr>
          <w:rFonts w:ascii="Minion Pro" w:hAnsi="Minion Pro" w:cs="Times New Roman"/>
          <w:iCs/>
          <w:sz w:val="24"/>
          <w:szCs w:val="24"/>
          <w:lang w:val="en-US"/>
        </w:rPr>
        <w:t xml:space="preserve"> </w:t>
      </w:r>
      <w:proofErr w:type="spellStart"/>
      <w:r w:rsidRPr="008F0D97">
        <w:rPr>
          <w:rFonts w:ascii="Minion Pro" w:hAnsi="Minion Pro" w:cs="Times New Roman"/>
          <w:iCs/>
          <w:sz w:val="24"/>
          <w:szCs w:val="24"/>
          <w:lang w:val="en-US"/>
        </w:rPr>
        <w:t>Hastuti</w:t>
      </w:r>
      <w:proofErr w:type="spellEnd"/>
      <w:r w:rsidRPr="008F0D97">
        <w:rPr>
          <w:rFonts w:ascii="Minion Pro" w:hAnsi="Minion Pro" w:cs="Times New Roman"/>
          <w:iCs/>
          <w:sz w:val="24"/>
          <w:szCs w:val="24"/>
        </w:rPr>
        <w:t>.</w:t>
      </w:r>
      <w:r w:rsidRPr="008F0D97">
        <w:rPr>
          <w:rFonts w:ascii="Minion Pro" w:hAnsi="Minion Pro" w:cs="Times New Roman"/>
          <w:iCs/>
          <w:sz w:val="24"/>
          <w:szCs w:val="24"/>
          <w:lang w:val="en-US"/>
        </w:rPr>
        <w:t xml:space="preserve"> </w:t>
      </w:r>
      <w:r w:rsidRPr="008F0D97">
        <w:rPr>
          <w:rFonts w:ascii="Minion Pro" w:hAnsi="Minion Pro" w:cs="Times New Roman"/>
          <w:i/>
          <w:iCs/>
          <w:sz w:val="24"/>
          <w:szCs w:val="24"/>
          <w:lang w:val="en-US"/>
        </w:rPr>
        <w:t>Indonesian Women and Local Politics: Islam, Gender, and Networks in Post-</w:t>
      </w:r>
      <w:proofErr w:type="spellStart"/>
      <w:r w:rsidRPr="008F0D97">
        <w:rPr>
          <w:rFonts w:ascii="Minion Pro" w:hAnsi="Minion Pro" w:cs="Times New Roman"/>
          <w:i/>
          <w:iCs/>
          <w:sz w:val="24"/>
          <w:szCs w:val="24"/>
          <w:lang w:val="en-US"/>
        </w:rPr>
        <w:t>Suharta</w:t>
      </w:r>
      <w:proofErr w:type="spellEnd"/>
      <w:r w:rsidRPr="008F0D97">
        <w:rPr>
          <w:rFonts w:ascii="Minion Pro" w:hAnsi="Minion Pro" w:cs="Times New Roman"/>
          <w:i/>
          <w:iCs/>
          <w:sz w:val="24"/>
          <w:szCs w:val="24"/>
          <w:lang w:val="en-US"/>
        </w:rPr>
        <w:t xml:space="preserve"> Indonesia</w:t>
      </w:r>
      <w:r w:rsidRPr="008F0D97">
        <w:rPr>
          <w:rFonts w:ascii="Minion Pro" w:hAnsi="Minion Pro" w:cs="Times New Roman"/>
          <w:iCs/>
          <w:sz w:val="24"/>
          <w:szCs w:val="24"/>
        </w:rPr>
        <w:t>.</w:t>
      </w:r>
      <w:r w:rsidRPr="008F0D97">
        <w:rPr>
          <w:rFonts w:ascii="Minion Pro" w:hAnsi="Minion Pro" w:cs="Times New Roman"/>
          <w:iCs/>
          <w:sz w:val="24"/>
          <w:szCs w:val="24"/>
          <w:lang w:val="en-US"/>
        </w:rPr>
        <w:t xml:space="preserve"> </w:t>
      </w:r>
      <w:r w:rsidRPr="008F0D97">
        <w:rPr>
          <w:rFonts w:ascii="Minion Pro" w:hAnsi="Minion Pro" w:cs="Times New Roman"/>
          <w:iCs/>
          <w:sz w:val="24"/>
          <w:szCs w:val="24"/>
        </w:rPr>
        <w:t>E</w:t>
      </w:r>
      <w:proofErr w:type="spellStart"/>
      <w:r w:rsidRPr="008F0D97">
        <w:rPr>
          <w:rFonts w:ascii="Minion Pro" w:hAnsi="Minion Pro" w:cs="Times New Roman"/>
          <w:iCs/>
          <w:sz w:val="24"/>
          <w:szCs w:val="24"/>
          <w:lang w:val="en-US"/>
        </w:rPr>
        <w:t>disi</w:t>
      </w:r>
      <w:proofErr w:type="spellEnd"/>
      <w:r w:rsidRPr="008F0D97">
        <w:rPr>
          <w:rFonts w:ascii="Minion Pro" w:hAnsi="Minion Pro" w:cs="Times New Roman"/>
          <w:iCs/>
          <w:sz w:val="24"/>
          <w:szCs w:val="24"/>
          <w:lang w:val="en-US"/>
        </w:rPr>
        <w:t xml:space="preserve"> digital</w:t>
      </w:r>
      <w:r w:rsidRPr="008F0D97">
        <w:rPr>
          <w:rFonts w:ascii="Minion Pro" w:hAnsi="Minion Pro" w:cs="Times New Roman"/>
          <w:iCs/>
          <w:sz w:val="24"/>
          <w:szCs w:val="24"/>
        </w:rPr>
        <w:t xml:space="preserve">. </w:t>
      </w:r>
      <w:r w:rsidRPr="008F0D97">
        <w:rPr>
          <w:rFonts w:ascii="Minion Pro" w:hAnsi="Minion Pro" w:cs="Times New Roman"/>
          <w:iCs/>
          <w:sz w:val="24"/>
          <w:szCs w:val="24"/>
          <w:lang w:val="en-US"/>
        </w:rPr>
        <w:t xml:space="preserve">Singapura dan </w:t>
      </w:r>
      <w:proofErr w:type="spellStart"/>
      <w:r w:rsidRPr="008F0D97">
        <w:rPr>
          <w:rFonts w:ascii="Minion Pro" w:hAnsi="Minion Pro" w:cs="Times New Roman"/>
          <w:iCs/>
          <w:sz w:val="24"/>
          <w:szCs w:val="24"/>
          <w:lang w:val="en-US"/>
        </w:rPr>
        <w:t>Jepang</w:t>
      </w:r>
      <w:proofErr w:type="spellEnd"/>
      <w:r w:rsidRPr="008F0D97">
        <w:rPr>
          <w:rFonts w:ascii="Minion Pro" w:hAnsi="Minion Pro" w:cs="Times New Roman"/>
          <w:iCs/>
          <w:sz w:val="24"/>
          <w:szCs w:val="24"/>
          <w:lang w:val="en-US"/>
        </w:rPr>
        <w:t>: NUS Press dan Kyoto University Press, 2015</w:t>
      </w:r>
      <w:r w:rsidRPr="008F0D97">
        <w:rPr>
          <w:rFonts w:ascii="Minion Pro" w:hAnsi="Minion Pro" w:cs="Times New Roman"/>
          <w:iCs/>
          <w:sz w:val="24"/>
          <w:szCs w:val="24"/>
        </w:rPr>
        <w:t>.</w:t>
      </w:r>
    </w:p>
    <w:p w14:paraId="209D1718" w14:textId="77777777" w:rsidR="008F0D97" w:rsidRPr="008F0D97" w:rsidRDefault="008F0D97" w:rsidP="008F0D97">
      <w:pPr>
        <w:spacing w:line="240" w:lineRule="auto"/>
        <w:ind w:left="851" w:hanging="851"/>
        <w:jc w:val="both"/>
        <w:rPr>
          <w:rFonts w:ascii="Minion Pro" w:hAnsi="Minion Pro" w:cs="Times New Roman"/>
          <w:iCs/>
          <w:sz w:val="24"/>
          <w:szCs w:val="24"/>
        </w:rPr>
      </w:pPr>
      <w:proofErr w:type="spellStart"/>
      <w:r w:rsidRPr="008F0D97">
        <w:rPr>
          <w:rFonts w:ascii="Minion Pro" w:hAnsi="Minion Pro" w:cs="Times New Roman"/>
          <w:iCs/>
          <w:sz w:val="24"/>
          <w:szCs w:val="24"/>
          <w:lang w:val="en-US"/>
        </w:rPr>
        <w:t>Ayatrohaedi</w:t>
      </w:r>
      <w:proofErr w:type="spellEnd"/>
      <w:r w:rsidRPr="008F0D97">
        <w:rPr>
          <w:rFonts w:ascii="Minion Pro" w:hAnsi="Minion Pro" w:cs="Times New Roman"/>
          <w:iCs/>
          <w:sz w:val="24"/>
          <w:szCs w:val="24"/>
          <w:lang w:val="en-US"/>
        </w:rPr>
        <w:t xml:space="preserve"> </w:t>
      </w:r>
      <w:r w:rsidRPr="008F0D97">
        <w:rPr>
          <w:rFonts w:ascii="Minion Pro" w:hAnsi="Minion Pro" w:cs="Times New Roman"/>
          <w:i/>
          <w:iCs/>
          <w:sz w:val="24"/>
          <w:szCs w:val="24"/>
          <w:lang w:val="en-US"/>
        </w:rPr>
        <w:t>et al.</w:t>
      </w:r>
      <w:r w:rsidRPr="008F0D97">
        <w:rPr>
          <w:rFonts w:ascii="Minion Pro" w:hAnsi="Minion Pro" w:cs="Times New Roman"/>
          <w:iCs/>
          <w:sz w:val="24"/>
          <w:szCs w:val="24"/>
          <w:lang w:val="en-US"/>
        </w:rPr>
        <w:t xml:space="preserve"> </w:t>
      </w:r>
      <w:r w:rsidRPr="008F0D97">
        <w:rPr>
          <w:rFonts w:ascii="Minion Pro" w:hAnsi="Minion Pro" w:cs="Times New Roman"/>
          <w:i/>
          <w:iCs/>
          <w:sz w:val="24"/>
          <w:szCs w:val="24"/>
          <w:lang w:val="en-US"/>
        </w:rPr>
        <w:t xml:space="preserve">Kumpulan </w:t>
      </w:r>
      <w:proofErr w:type="spellStart"/>
      <w:r w:rsidRPr="008F0D97">
        <w:rPr>
          <w:rFonts w:ascii="Minion Pro" w:hAnsi="Minion Pro" w:cs="Times New Roman"/>
          <w:i/>
          <w:iCs/>
          <w:sz w:val="24"/>
          <w:szCs w:val="24"/>
          <w:lang w:val="en-US"/>
        </w:rPr>
        <w:t>Buklet</w:t>
      </w:r>
      <w:proofErr w:type="spellEnd"/>
      <w:r w:rsidRPr="008F0D97">
        <w:rPr>
          <w:rFonts w:ascii="Minion Pro" w:hAnsi="Minion Pro" w:cs="Times New Roman"/>
          <w:i/>
          <w:iCs/>
          <w:sz w:val="24"/>
          <w:szCs w:val="24"/>
          <w:lang w:val="en-US"/>
        </w:rPr>
        <w:t xml:space="preserve"> Hari Sejarah I</w:t>
      </w:r>
      <w:r w:rsidRPr="008F0D97">
        <w:rPr>
          <w:rFonts w:ascii="Minion Pro" w:hAnsi="Minion Pro" w:cs="Times New Roman"/>
          <w:iCs/>
          <w:sz w:val="24"/>
          <w:szCs w:val="24"/>
        </w:rPr>
        <w:t>.</w:t>
      </w:r>
      <w:r w:rsidRPr="008F0D97">
        <w:rPr>
          <w:rFonts w:ascii="Minion Pro" w:hAnsi="Minion Pro" w:cs="Times New Roman"/>
          <w:iCs/>
          <w:sz w:val="24"/>
          <w:szCs w:val="24"/>
          <w:lang w:val="en-US"/>
        </w:rPr>
        <w:t xml:space="preserve"> </w:t>
      </w:r>
      <w:r w:rsidRPr="008F0D97">
        <w:rPr>
          <w:rFonts w:ascii="Minion Pro" w:hAnsi="Minion Pro" w:cs="Times New Roman"/>
          <w:iCs/>
          <w:sz w:val="24"/>
          <w:szCs w:val="24"/>
        </w:rPr>
        <w:t>E</w:t>
      </w:r>
      <w:proofErr w:type="spellStart"/>
      <w:r w:rsidRPr="008F0D97">
        <w:rPr>
          <w:rFonts w:ascii="Minion Pro" w:hAnsi="Minion Pro" w:cs="Times New Roman"/>
          <w:iCs/>
          <w:sz w:val="24"/>
          <w:szCs w:val="24"/>
          <w:lang w:val="en-US"/>
        </w:rPr>
        <w:t>disi</w:t>
      </w:r>
      <w:proofErr w:type="spellEnd"/>
      <w:r w:rsidRPr="008F0D97">
        <w:rPr>
          <w:rFonts w:ascii="Minion Pro" w:hAnsi="Minion Pro" w:cs="Times New Roman"/>
          <w:iCs/>
          <w:sz w:val="24"/>
          <w:szCs w:val="24"/>
          <w:lang w:val="en-US"/>
        </w:rPr>
        <w:t xml:space="preserve"> digital</w:t>
      </w:r>
      <w:r w:rsidRPr="008F0D97">
        <w:rPr>
          <w:rFonts w:ascii="Minion Pro" w:hAnsi="Minion Pro" w:cs="Times New Roman"/>
          <w:iCs/>
          <w:sz w:val="24"/>
          <w:szCs w:val="24"/>
        </w:rPr>
        <w:t xml:space="preserve">. </w:t>
      </w:r>
      <w:r w:rsidRPr="008F0D97">
        <w:rPr>
          <w:rFonts w:ascii="Minion Pro" w:hAnsi="Minion Pro" w:cs="Times New Roman"/>
          <w:iCs/>
          <w:sz w:val="24"/>
          <w:szCs w:val="24"/>
          <w:lang w:val="en-US"/>
        </w:rPr>
        <w:t xml:space="preserve">Jakarta: </w:t>
      </w:r>
      <w:proofErr w:type="spellStart"/>
      <w:r w:rsidRPr="008F0D97">
        <w:rPr>
          <w:rFonts w:ascii="Minion Pro" w:hAnsi="Minion Pro" w:cs="Times New Roman"/>
          <w:iCs/>
          <w:sz w:val="24"/>
          <w:szCs w:val="24"/>
          <w:lang w:val="en-US"/>
        </w:rPr>
        <w:t>Direktorat</w:t>
      </w:r>
      <w:proofErr w:type="spellEnd"/>
      <w:r w:rsidRPr="008F0D97">
        <w:rPr>
          <w:rFonts w:ascii="Minion Pro" w:hAnsi="Minion Pro" w:cs="Times New Roman"/>
          <w:iCs/>
          <w:sz w:val="24"/>
          <w:szCs w:val="24"/>
          <w:lang w:val="en-US"/>
        </w:rPr>
        <w:t xml:space="preserve"> Sejarah dan Nilai </w:t>
      </w:r>
      <w:proofErr w:type="spellStart"/>
      <w:r w:rsidRPr="008F0D97">
        <w:rPr>
          <w:rFonts w:ascii="Minion Pro" w:hAnsi="Minion Pro" w:cs="Times New Roman"/>
          <w:iCs/>
          <w:sz w:val="24"/>
          <w:szCs w:val="24"/>
          <w:lang w:val="en-US"/>
        </w:rPr>
        <w:t>Tradisional</w:t>
      </w:r>
      <w:proofErr w:type="spellEnd"/>
      <w:r w:rsidRPr="008F0D97">
        <w:rPr>
          <w:rFonts w:ascii="Minion Pro" w:hAnsi="Minion Pro" w:cs="Times New Roman"/>
          <w:iCs/>
          <w:sz w:val="24"/>
          <w:szCs w:val="24"/>
          <w:lang w:val="en-US"/>
        </w:rPr>
        <w:t xml:space="preserve"> </w:t>
      </w:r>
      <w:proofErr w:type="spellStart"/>
      <w:r w:rsidRPr="008F0D97">
        <w:rPr>
          <w:rFonts w:ascii="Minion Pro" w:hAnsi="Minion Pro" w:cs="Times New Roman"/>
          <w:iCs/>
          <w:sz w:val="24"/>
          <w:szCs w:val="24"/>
          <w:lang w:val="en-US"/>
        </w:rPr>
        <w:t>Departemen</w:t>
      </w:r>
      <w:proofErr w:type="spellEnd"/>
      <w:r w:rsidRPr="008F0D97">
        <w:rPr>
          <w:rFonts w:ascii="Minion Pro" w:hAnsi="Minion Pro" w:cs="Times New Roman"/>
          <w:iCs/>
          <w:sz w:val="24"/>
          <w:szCs w:val="24"/>
          <w:lang w:val="en-US"/>
        </w:rPr>
        <w:t xml:space="preserve"> Pendidikan dan </w:t>
      </w:r>
      <w:proofErr w:type="spellStart"/>
      <w:r w:rsidRPr="008F0D97">
        <w:rPr>
          <w:rFonts w:ascii="Minion Pro" w:hAnsi="Minion Pro" w:cs="Times New Roman"/>
          <w:iCs/>
          <w:sz w:val="24"/>
          <w:szCs w:val="24"/>
          <w:lang w:val="en-US"/>
        </w:rPr>
        <w:t>Kebudayaan</w:t>
      </w:r>
      <w:proofErr w:type="spellEnd"/>
      <w:r w:rsidRPr="008F0D97">
        <w:rPr>
          <w:rFonts w:ascii="Minion Pro" w:hAnsi="Minion Pro" w:cs="Times New Roman"/>
          <w:iCs/>
          <w:sz w:val="24"/>
          <w:szCs w:val="24"/>
          <w:lang w:val="en-US"/>
        </w:rPr>
        <w:t>, 1994</w:t>
      </w:r>
      <w:r w:rsidRPr="008F0D97">
        <w:rPr>
          <w:rFonts w:ascii="Minion Pro" w:hAnsi="Minion Pro" w:cs="Times New Roman"/>
          <w:iCs/>
          <w:sz w:val="24"/>
          <w:szCs w:val="24"/>
        </w:rPr>
        <w:t>.</w:t>
      </w:r>
    </w:p>
    <w:p w14:paraId="458BC637" w14:textId="77777777" w:rsidR="008F0D97" w:rsidRPr="008F0D97" w:rsidRDefault="008F0D97" w:rsidP="008F0D97">
      <w:pPr>
        <w:spacing w:line="240" w:lineRule="auto"/>
        <w:ind w:left="851" w:hanging="851"/>
        <w:jc w:val="both"/>
        <w:rPr>
          <w:rFonts w:ascii="Minion Pro" w:hAnsi="Minion Pro" w:cs="Times New Roman"/>
          <w:iCs/>
          <w:sz w:val="24"/>
          <w:szCs w:val="24"/>
        </w:rPr>
      </w:pPr>
      <w:r w:rsidRPr="008F0D97">
        <w:rPr>
          <w:rFonts w:ascii="Minion Pro" w:hAnsi="Minion Pro" w:cs="Times New Roman"/>
          <w:iCs/>
          <w:sz w:val="24"/>
          <w:szCs w:val="24"/>
          <w:lang w:val="en-US"/>
        </w:rPr>
        <w:t xml:space="preserve">Kurniawan, </w:t>
      </w:r>
      <w:proofErr w:type="spellStart"/>
      <w:r w:rsidRPr="008F0D97">
        <w:rPr>
          <w:rFonts w:ascii="Minion Pro" w:hAnsi="Minion Pro" w:cs="Times New Roman"/>
          <w:iCs/>
          <w:sz w:val="24"/>
          <w:szCs w:val="24"/>
          <w:lang w:val="en-US"/>
        </w:rPr>
        <w:t>Nalom</w:t>
      </w:r>
      <w:proofErr w:type="spellEnd"/>
      <w:r w:rsidRPr="008F0D97">
        <w:rPr>
          <w:rFonts w:ascii="Minion Pro" w:hAnsi="Minion Pro" w:cs="Times New Roman"/>
          <w:iCs/>
          <w:sz w:val="24"/>
          <w:szCs w:val="24"/>
        </w:rPr>
        <w:t>.</w:t>
      </w:r>
      <w:r w:rsidRPr="008F0D97">
        <w:rPr>
          <w:rFonts w:ascii="Minion Pro" w:hAnsi="Minion Pro" w:cs="Times New Roman"/>
          <w:iCs/>
          <w:sz w:val="24"/>
          <w:szCs w:val="24"/>
          <w:lang w:val="en-US"/>
        </w:rPr>
        <w:t xml:space="preserve"> “</w:t>
      </w:r>
      <w:proofErr w:type="spellStart"/>
      <w:r w:rsidRPr="008F0D97">
        <w:rPr>
          <w:rFonts w:ascii="Minion Pro" w:hAnsi="Minion Pro" w:cs="Times New Roman"/>
          <w:iCs/>
          <w:sz w:val="24"/>
          <w:szCs w:val="24"/>
          <w:lang w:val="en-US"/>
        </w:rPr>
        <w:t>Keterwakilan</w:t>
      </w:r>
      <w:proofErr w:type="spellEnd"/>
      <w:r w:rsidRPr="008F0D97">
        <w:rPr>
          <w:rFonts w:ascii="Minion Pro" w:hAnsi="Minion Pro" w:cs="Times New Roman"/>
          <w:iCs/>
          <w:sz w:val="24"/>
          <w:szCs w:val="24"/>
          <w:lang w:val="en-US"/>
        </w:rPr>
        <w:t xml:space="preserve"> Perempuan di Dewan </w:t>
      </w:r>
      <w:proofErr w:type="spellStart"/>
      <w:r w:rsidRPr="008F0D97">
        <w:rPr>
          <w:rFonts w:ascii="Minion Pro" w:hAnsi="Minion Pro" w:cs="Times New Roman"/>
          <w:iCs/>
          <w:sz w:val="24"/>
          <w:szCs w:val="24"/>
          <w:lang w:val="en-US"/>
        </w:rPr>
        <w:t>Perwakilan</w:t>
      </w:r>
      <w:proofErr w:type="spellEnd"/>
      <w:r w:rsidRPr="008F0D97">
        <w:rPr>
          <w:rFonts w:ascii="Minion Pro" w:hAnsi="Minion Pro" w:cs="Times New Roman"/>
          <w:iCs/>
          <w:sz w:val="24"/>
          <w:szCs w:val="24"/>
          <w:lang w:val="en-US"/>
        </w:rPr>
        <w:t xml:space="preserve"> Rakyat </w:t>
      </w:r>
      <w:proofErr w:type="spellStart"/>
      <w:r w:rsidRPr="008F0D97">
        <w:rPr>
          <w:rFonts w:ascii="Minion Pro" w:hAnsi="Minion Pro" w:cs="Times New Roman"/>
          <w:iCs/>
          <w:sz w:val="24"/>
          <w:szCs w:val="24"/>
          <w:lang w:val="en-US"/>
        </w:rPr>
        <w:t>Pasca</w:t>
      </w:r>
      <w:proofErr w:type="spellEnd"/>
      <w:r w:rsidRPr="008F0D97">
        <w:rPr>
          <w:rFonts w:ascii="Minion Pro" w:hAnsi="Minion Pro" w:cs="Times New Roman"/>
          <w:iCs/>
          <w:sz w:val="24"/>
          <w:szCs w:val="24"/>
          <w:lang w:val="en-US"/>
        </w:rPr>
        <w:t xml:space="preserve"> </w:t>
      </w:r>
      <w:proofErr w:type="spellStart"/>
      <w:r w:rsidRPr="008F0D97">
        <w:rPr>
          <w:rFonts w:ascii="Minion Pro" w:hAnsi="Minion Pro" w:cs="Times New Roman"/>
          <w:iCs/>
          <w:sz w:val="24"/>
          <w:szCs w:val="24"/>
          <w:lang w:val="en-US"/>
        </w:rPr>
        <w:t>Putusan</w:t>
      </w:r>
      <w:proofErr w:type="spellEnd"/>
      <w:r w:rsidRPr="008F0D97">
        <w:rPr>
          <w:rFonts w:ascii="Minion Pro" w:hAnsi="Minion Pro" w:cs="Times New Roman"/>
          <w:iCs/>
          <w:sz w:val="24"/>
          <w:szCs w:val="24"/>
          <w:lang w:val="en-US"/>
        </w:rPr>
        <w:t xml:space="preserve"> </w:t>
      </w:r>
      <w:proofErr w:type="spellStart"/>
      <w:r w:rsidRPr="008F0D97">
        <w:rPr>
          <w:rFonts w:ascii="Minion Pro" w:hAnsi="Minion Pro" w:cs="Times New Roman"/>
          <w:iCs/>
          <w:sz w:val="24"/>
          <w:szCs w:val="24"/>
          <w:lang w:val="en-US"/>
        </w:rPr>
        <w:t>Mahkamah</w:t>
      </w:r>
      <w:proofErr w:type="spellEnd"/>
      <w:r w:rsidRPr="008F0D97">
        <w:rPr>
          <w:rFonts w:ascii="Minion Pro" w:hAnsi="Minion Pro" w:cs="Times New Roman"/>
          <w:iCs/>
          <w:sz w:val="24"/>
          <w:szCs w:val="24"/>
          <w:lang w:val="en-US"/>
        </w:rPr>
        <w:t xml:space="preserve"> </w:t>
      </w:r>
      <w:proofErr w:type="spellStart"/>
      <w:r w:rsidRPr="008F0D97">
        <w:rPr>
          <w:rFonts w:ascii="Minion Pro" w:hAnsi="Minion Pro" w:cs="Times New Roman"/>
          <w:iCs/>
          <w:sz w:val="24"/>
          <w:szCs w:val="24"/>
          <w:lang w:val="en-US"/>
        </w:rPr>
        <w:t>Konstitusi</w:t>
      </w:r>
      <w:proofErr w:type="spellEnd"/>
      <w:r w:rsidRPr="008F0D97">
        <w:rPr>
          <w:rFonts w:ascii="Minion Pro" w:hAnsi="Minion Pro" w:cs="Times New Roman"/>
          <w:iCs/>
          <w:sz w:val="24"/>
          <w:szCs w:val="24"/>
          <w:lang w:val="en-US"/>
        </w:rPr>
        <w:t xml:space="preserve"> </w:t>
      </w:r>
      <w:proofErr w:type="spellStart"/>
      <w:r w:rsidRPr="008F0D97">
        <w:rPr>
          <w:rFonts w:ascii="Minion Pro" w:hAnsi="Minion Pro" w:cs="Times New Roman"/>
          <w:iCs/>
          <w:sz w:val="24"/>
          <w:szCs w:val="24"/>
          <w:lang w:val="en-US"/>
        </w:rPr>
        <w:t>Nomor</w:t>
      </w:r>
      <w:proofErr w:type="spellEnd"/>
      <w:r w:rsidRPr="008F0D97">
        <w:rPr>
          <w:rFonts w:ascii="Minion Pro" w:hAnsi="Minion Pro" w:cs="Times New Roman"/>
          <w:iCs/>
          <w:sz w:val="24"/>
          <w:szCs w:val="24"/>
          <w:lang w:val="en-US"/>
        </w:rPr>
        <w:t xml:space="preserve"> 22-24/PUU-VI/2008”</w:t>
      </w:r>
      <w:r w:rsidRPr="008F0D97">
        <w:rPr>
          <w:rFonts w:ascii="Minion Pro" w:hAnsi="Minion Pro" w:cs="Times New Roman"/>
          <w:iCs/>
          <w:sz w:val="24"/>
          <w:szCs w:val="24"/>
        </w:rPr>
        <w:t>.</w:t>
      </w:r>
      <w:r w:rsidRPr="008F0D97">
        <w:rPr>
          <w:rFonts w:ascii="Minion Pro" w:hAnsi="Minion Pro" w:cs="Times New Roman"/>
          <w:iCs/>
          <w:sz w:val="24"/>
          <w:szCs w:val="24"/>
          <w:lang w:val="en-US"/>
        </w:rPr>
        <w:t xml:space="preserve"> </w:t>
      </w:r>
      <w:proofErr w:type="spellStart"/>
      <w:r w:rsidRPr="008F0D97">
        <w:rPr>
          <w:rFonts w:ascii="Minion Pro" w:hAnsi="Minion Pro" w:cs="Times New Roman"/>
          <w:i/>
          <w:iCs/>
          <w:sz w:val="24"/>
          <w:szCs w:val="24"/>
          <w:lang w:val="en-US"/>
        </w:rPr>
        <w:t>Jurnal</w:t>
      </w:r>
      <w:proofErr w:type="spellEnd"/>
      <w:r w:rsidRPr="008F0D97">
        <w:rPr>
          <w:rFonts w:ascii="Minion Pro" w:hAnsi="Minion Pro" w:cs="Times New Roman"/>
          <w:i/>
          <w:iCs/>
          <w:sz w:val="24"/>
          <w:szCs w:val="24"/>
          <w:lang w:val="en-US"/>
        </w:rPr>
        <w:t xml:space="preserve"> </w:t>
      </w:r>
      <w:proofErr w:type="spellStart"/>
      <w:r w:rsidRPr="008F0D97">
        <w:rPr>
          <w:rFonts w:ascii="Minion Pro" w:hAnsi="Minion Pro" w:cs="Times New Roman"/>
          <w:i/>
          <w:iCs/>
          <w:sz w:val="24"/>
          <w:szCs w:val="24"/>
          <w:lang w:val="en-US"/>
        </w:rPr>
        <w:t>Konstitusi</w:t>
      </w:r>
      <w:proofErr w:type="spellEnd"/>
      <w:r w:rsidRPr="008F0D97">
        <w:rPr>
          <w:rFonts w:ascii="Minion Pro" w:hAnsi="Minion Pro" w:cs="Times New Roman"/>
          <w:iCs/>
          <w:sz w:val="24"/>
          <w:szCs w:val="24"/>
        </w:rPr>
        <w:t>. Vol.</w:t>
      </w:r>
      <w:r w:rsidRPr="008F0D97">
        <w:rPr>
          <w:rFonts w:ascii="Minion Pro" w:hAnsi="Minion Pro" w:cs="Times New Roman"/>
          <w:iCs/>
          <w:sz w:val="24"/>
          <w:szCs w:val="24"/>
          <w:lang w:val="en-US"/>
        </w:rPr>
        <w:t xml:space="preserve"> 11, </w:t>
      </w:r>
      <w:r w:rsidRPr="008F0D97">
        <w:rPr>
          <w:rFonts w:ascii="Minion Pro" w:hAnsi="Minion Pro" w:cs="Times New Roman"/>
          <w:iCs/>
          <w:sz w:val="24"/>
          <w:szCs w:val="24"/>
        </w:rPr>
        <w:t>N</w:t>
      </w:r>
      <w:r w:rsidRPr="008F0D97">
        <w:rPr>
          <w:rFonts w:ascii="Minion Pro" w:hAnsi="Minion Pro" w:cs="Times New Roman"/>
          <w:iCs/>
          <w:sz w:val="24"/>
          <w:szCs w:val="24"/>
          <w:lang w:val="en-US"/>
        </w:rPr>
        <w:t>o. 4 (</w:t>
      </w:r>
      <w:proofErr w:type="spellStart"/>
      <w:r w:rsidRPr="008F0D97">
        <w:rPr>
          <w:rFonts w:ascii="Minion Pro" w:hAnsi="Minion Pro" w:cs="Times New Roman"/>
          <w:iCs/>
          <w:sz w:val="24"/>
          <w:szCs w:val="24"/>
          <w:lang w:val="en-US"/>
        </w:rPr>
        <w:t>Desember</w:t>
      </w:r>
      <w:proofErr w:type="spellEnd"/>
      <w:r w:rsidRPr="008F0D97">
        <w:rPr>
          <w:rFonts w:ascii="Minion Pro" w:hAnsi="Minion Pro" w:cs="Times New Roman"/>
          <w:iCs/>
          <w:sz w:val="24"/>
          <w:szCs w:val="24"/>
          <w:lang w:val="en-US"/>
        </w:rPr>
        <w:t xml:space="preserve"> 2014)</w:t>
      </w:r>
      <w:r w:rsidRPr="008F0D97">
        <w:rPr>
          <w:rFonts w:ascii="Minion Pro" w:hAnsi="Minion Pro" w:cs="Times New Roman"/>
          <w:iCs/>
          <w:sz w:val="24"/>
          <w:szCs w:val="24"/>
        </w:rPr>
        <w:t>.</w:t>
      </w:r>
    </w:p>
    <w:p w14:paraId="1E40054C" w14:textId="77777777" w:rsidR="008F0D97" w:rsidRPr="008F0D97" w:rsidRDefault="008F0D97" w:rsidP="008F0D97">
      <w:pPr>
        <w:spacing w:line="240" w:lineRule="auto"/>
        <w:ind w:left="851" w:hanging="851"/>
        <w:jc w:val="both"/>
        <w:rPr>
          <w:rFonts w:ascii="Minion Pro" w:hAnsi="Minion Pro" w:cs="Times New Roman"/>
          <w:iCs/>
          <w:sz w:val="24"/>
          <w:szCs w:val="24"/>
        </w:rPr>
      </w:pPr>
      <w:r w:rsidRPr="008F0D97">
        <w:rPr>
          <w:rFonts w:ascii="Minion Pro" w:hAnsi="Minion Pro" w:cs="Times New Roman"/>
          <w:iCs/>
          <w:sz w:val="24"/>
          <w:szCs w:val="24"/>
        </w:rPr>
        <w:t>Al</w:t>
      </w:r>
      <w:r w:rsidRPr="008F0D97">
        <w:rPr>
          <w:rFonts w:ascii="Minion Pro" w:hAnsi="Minion Pro" w:cs="Times New Roman"/>
          <w:iCs/>
          <w:sz w:val="24"/>
          <w:szCs w:val="24"/>
          <w:lang w:val="en-US"/>
        </w:rPr>
        <w:t>-</w:t>
      </w:r>
      <w:proofErr w:type="spellStart"/>
      <w:r w:rsidRPr="008F0D97">
        <w:rPr>
          <w:rFonts w:ascii="Minion Pro" w:hAnsi="Minion Pro" w:cs="Times New Roman"/>
          <w:iCs/>
          <w:sz w:val="24"/>
          <w:szCs w:val="24"/>
          <w:lang w:val="en-US"/>
        </w:rPr>
        <w:t>Syarbīnī</w:t>
      </w:r>
      <w:proofErr w:type="spellEnd"/>
      <w:r w:rsidRPr="008F0D97">
        <w:rPr>
          <w:rFonts w:ascii="Minion Pro" w:hAnsi="Minion Pro" w:cs="Times New Roman"/>
          <w:iCs/>
          <w:sz w:val="24"/>
          <w:szCs w:val="24"/>
          <w:lang w:val="en-US"/>
        </w:rPr>
        <w:t>, Mu</w:t>
      </w:r>
      <w:r w:rsidRPr="008F0D97">
        <w:rPr>
          <w:rFonts w:ascii="Minion Pro" w:hAnsi="Minion Pro" w:cs="Times New Roman"/>
          <w:iCs/>
          <w:sz w:val="24"/>
          <w:szCs w:val="24"/>
        </w:rPr>
        <w:t>h</w:t>
      </w:r>
      <w:proofErr w:type="spellStart"/>
      <w:r w:rsidRPr="008F0D97">
        <w:rPr>
          <w:rFonts w:ascii="Minion Pro" w:hAnsi="Minion Pro" w:cs="Times New Roman"/>
          <w:iCs/>
          <w:sz w:val="24"/>
          <w:szCs w:val="24"/>
          <w:lang w:val="en-US"/>
        </w:rPr>
        <w:t>ammad</w:t>
      </w:r>
      <w:proofErr w:type="spellEnd"/>
      <w:r w:rsidRPr="008F0D97">
        <w:rPr>
          <w:rFonts w:ascii="Minion Pro" w:hAnsi="Minion Pro" w:cs="Times New Roman"/>
          <w:iCs/>
          <w:sz w:val="24"/>
          <w:szCs w:val="24"/>
          <w:lang w:val="en-US"/>
        </w:rPr>
        <w:t xml:space="preserve"> al-Kha</w:t>
      </w:r>
      <w:r w:rsidRPr="008F0D97">
        <w:rPr>
          <w:rFonts w:ascii="Minion Pro" w:hAnsi="Minion Pro" w:cs="Times New Roman"/>
          <w:iCs/>
          <w:sz w:val="24"/>
          <w:szCs w:val="24"/>
        </w:rPr>
        <w:t>th</w:t>
      </w:r>
      <w:proofErr w:type="spellStart"/>
      <w:r w:rsidRPr="008F0D97">
        <w:rPr>
          <w:rFonts w:ascii="Minion Pro" w:hAnsi="Minion Pro" w:cs="Times New Roman"/>
          <w:iCs/>
          <w:sz w:val="24"/>
          <w:szCs w:val="24"/>
          <w:lang w:val="en-US"/>
        </w:rPr>
        <w:t>īb</w:t>
      </w:r>
      <w:proofErr w:type="spellEnd"/>
      <w:r w:rsidRPr="008F0D97">
        <w:rPr>
          <w:rFonts w:ascii="Minion Pro" w:hAnsi="Minion Pro" w:cs="Times New Roman"/>
          <w:iCs/>
          <w:sz w:val="24"/>
          <w:szCs w:val="24"/>
        </w:rPr>
        <w:t>.</w:t>
      </w:r>
      <w:r w:rsidRPr="008F0D97">
        <w:rPr>
          <w:rFonts w:ascii="Minion Pro" w:hAnsi="Minion Pro" w:cs="Times New Roman"/>
          <w:iCs/>
          <w:sz w:val="24"/>
          <w:szCs w:val="24"/>
          <w:lang w:val="en-US"/>
        </w:rPr>
        <w:t xml:space="preserve"> </w:t>
      </w:r>
      <w:proofErr w:type="spellStart"/>
      <w:r w:rsidRPr="008F0D97">
        <w:rPr>
          <w:rFonts w:ascii="Minion Pro" w:hAnsi="Minion Pro" w:cs="Times New Roman"/>
          <w:i/>
          <w:iCs/>
          <w:sz w:val="24"/>
          <w:szCs w:val="24"/>
          <w:lang w:val="en-US"/>
        </w:rPr>
        <w:t>Mughnī</w:t>
      </w:r>
      <w:proofErr w:type="spellEnd"/>
      <w:r w:rsidRPr="008F0D97">
        <w:rPr>
          <w:rFonts w:ascii="Minion Pro" w:hAnsi="Minion Pro" w:cs="Times New Roman"/>
          <w:i/>
          <w:iCs/>
          <w:sz w:val="24"/>
          <w:szCs w:val="24"/>
          <w:lang w:val="en-US"/>
        </w:rPr>
        <w:t xml:space="preserve"> al-Mu</w:t>
      </w:r>
      <w:r w:rsidRPr="008F0D97">
        <w:rPr>
          <w:rFonts w:ascii="Minion Pro" w:hAnsi="Minion Pro" w:cs="Times New Roman"/>
          <w:i/>
          <w:iCs/>
          <w:sz w:val="24"/>
          <w:szCs w:val="24"/>
        </w:rPr>
        <w:t>h</w:t>
      </w:r>
      <w:proofErr w:type="spellStart"/>
      <w:r w:rsidRPr="008F0D97">
        <w:rPr>
          <w:rFonts w:ascii="Minion Pro" w:hAnsi="Minion Pro" w:cs="Times New Roman"/>
          <w:i/>
          <w:iCs/>
          <w:sz w:val="24"/>
          <w:szCs w:val="24"/>
          <w:lang w:val="en-US"/>
        </w:rPr>
        <w:t>tāj</w:t>
      </w:r>
      <w:proofErr w:type="spellEnd"/>
      <w:r w:rsidRPr="008F0D97">
        <w:rPr>
          <w:rFonts w:ascii="Minion Pro" w:hAnsi="Minion Pro" w:cs="Times New Roman"/>
          <w:i/>
          <w:iCs/>
          <w:sz w:val="24"/>
          <w:szCs w:val="24"/>
          <w:lang w:val="en-US"/>
        </w:rPr>
        <w:t xml:space="preserve"> </w:t>
      </w:r>
      <w:proofErr w:type="spellStart"/>
      <w:r w:rsidRPr="008F0D97">
        <w:rPr>
          <w:rFonts w:ascii="Minion Pro" w:hAnsi="Minion Pro" w:cs="Times New Roman"/>
          <w:i/>
          <w:iCs/>
          <w:sz w:val="24"/>
          <w:szCs w:val="24"/>
          <w:lang w:val="en-US"/>
        </w:rPr>
        <w:t>ilā</w:t>
      </w:r>
      <w:proofErr w:type="spellEnd"/>
      <w:r w:rsidRPr="008F0D97">
        <w:rPr>
          <w:rFonts w:ascii="Minion Pro" w:hAnsi="Minion Pro" w:cs="Times New Roman"/>
          <w:i/>
          <w:iCs/>
          <w:sz w:val="24"/>
          <w:szCs w:val="24"/>
          <w:lang w:val="en-US"/>
        </w:rPr>
        <w:t xml:space="preserve"> </w:t>
      </w:r>
      <w:proofErr w:type="spellStart"/>
      <w:proofErr w:type="gramStart"/>
      <w:r w:rsidRPr="008F0D97">
        <w:rPr>
          <w:rFonts w:ascii="Minion Pro" w:hAnsi="Minion Pro" w:cs="Times New Roman"/>
          <w:i/>
          <w:iCs/>
          <w:sz w:val="24"/>
          <w:szCs w:val="24"/>
          <w:lang w:val="en-US"/>
        </w:rPr>
        <w:t>Ma‘</w:t>
      </w:r>
      <w:proofErr w:type="gramEnd"/>
      <w:r w:rsidRPr="008F0D97">
        <w:rPr>
          <w:rFonts w:ascii="Minion Pro" w:hAnsi="Minion Pro" w:cs="Times New Roman"/>
          <w:i/>
          <w:iCs/>
          <w:sz w:val="24"/>
          <w:szCs w:val="24"/>
          <w:lang w:val="en-US"/>
        </w:rPr>
        <w:t>rifah</w:t>
      </w:r>
      <w:proofErr w:type="spellEnd"/>
      <w:r w:rsidRPr="008F0D97">
        <w:rPr>
          <w:rFonts w:ascii="Minion Pro" w:hAnsi="Minion Pro" w:cs="Times New Roman"/>
          <w:i/>
          <w:iCs/>
          <w:sz w:val="24"/>
          <w:szCs w:val="24"/>
          <w:lang w:val="en-US"/>
        </w:rPr>
        <w:t xml:space="preserve"> </w:t>
      </w:r>
      <w:proofErr w:type="spellStart"/>
      <w:r w:rsidRPr="008F0D97">
        <w:rPr>
          <w:rFonts w:ascii="Minion Pro" w:hAnsi="Minion Pro" w:cs="Times New Roman"/>
          <w:i/>
          <w:iCs/>
          <w:sz w:val="24"/>
          <w:szCs w:val="24"/>
          <w:lang w:val="en-US"/>
        </w:rPr>
        <w:t>Ma‘ānī</w:t>
      </w:r>
      <w:proofErr w:type="spellEnd"/>
      <w:r w:rsidRPr="008F0D97">
        <w:rPr>
          <w:rFonts w:ascii="Minion Pro" w:hAnsi="Minion Pro" w:cs="Times New Roman"/>
          <w:i/>
          <w:iCs/>
          <w:sz w:val="24"/>
          <w:szCs w:val="24"/>
          <w:lang w:val="en-US"/>
        </w:rPr>
        <w:t xml:space="preserve"> Alfa</w:t>
      </w:r>
      <w:r w:rsidRPr="008F0D97">
        <w:rPr>
          <w:rFonts w:ascii="Minion Pro" w:hAnsi="Minion Pro" w:cs="Times New Roman"/>
          <w:i/>
          <w:iCs/>
          <w:sz w:val="24"/>
          <w:szCs w:val="24"/>
        </w:rPr>
        <w:t>zh</w:t>
      </w:r>
      <w:r w:rsidRPr="008F0D97">
        <w:rPr>
          <w:rFonts w:ascii="Minion Pro" w:hAnsi="Minion Pro" w:cs="Times New Roman"/>
          <w:i/>
          <w:iCs/>
          <w:sz w:val="24"/>
          <w:szCs w:val="24"/>
          <w:lang w:val="en-US"/>
        </w:rPr>
        <w:t xml:space="preserve"> al-</w:t>
      </w:r>
      <w:proofErr w:type="spellStart"/>
      <w:r w:rsidRPr="008F0D97">
        <w:rPr>
          <w:rFonts w:ascii="Minion Pro" w:hAnsi="Minion Pro" w:cs="Times New Roman"/>
          <w:i/>
          <w:iCs/>
          <w:sz w:val="24"/>
          <w:szCs w:val="24"/>
          <w:lang w:val="en-US"/>
        </w:rPr>
        <w:t>Minhāj</w:t>
      </w:r>
      <w:proofErr w:type="spellEnd"/>
      <w:r w:rsidRPr="008F0D97">
        <w:rPr>
          <w:rFonts w:ascii="Minion Pro" w:hAnsi="Minion Pro" w:cs="Times New Roman"/>
          <w:iCs/>
          <w:sz w:val="24"/>
          <w:szCs w:val="24"/>
        </w:rPr>
        <w:t>.</w:t>
      </w:r>
      <w:r w:rsidRPr="008F0D97">
        <w:rPr>
          <w:rFonts w:ascii="Minion Pro" w:hAnsi="Minion Pro" w:cs="Times New Roman"/>
          <w:iCs/>
          <w:sz w:val="24"/>
          <w:szCs w:val="24"/>
          <w:lang w:val="en-US"/>
        </w:rPr>
        <w:t xml:space="preserve"> </w:t>
      </w:r>
      <w:r w:rsidRPr="008F0D97">
        <w:rPr>
          <w:rFonts w:ascii="Minion Pro" w:hAnsi="Minion Pro" w:cs="Times New Roman"/>
          <w:iCs/>
          <w:sz w:val="24"/>
          <w:szCs w:val="24"/>
        </w:rPr>
        <w:t>V</w:t>
      </w:r>
      <w:proofErr w:type="spellStart"/>
      <w:r w:rsidRPr="008F0D97">
        <w:rPr>
          <w:rFonts w:ascii="Minion Pro" w:hAnsi="Minion Pro" w:cs="Times New Roman"/>
          <w:iCs/>
          <w:sz w:val="24"/>
          <w:szCs w:val="24"/>
          <w:lang w:val="en-US"/>
        </w:rPr>
        <w:t>ol</w:t>
      </w:r>
      <w:proofErr w:type="spellEnd"/>
      <w:r w:rsidRPr="008F0D97">
        <w:rPr>
          <w:rFonts w:ascii="Minion Pro" w:hAnsi="Minion Pro" w:cs="Times New Roman"/>
          <w:iCs/>
          <w:sz w:val="24"/>
          <w:szCs w:val="24"/>
          <w:lang w:val="en-US"/>
        </w:rPr>
        <w:t>. 6</w:t>
      </w:r>
      <w:r w:rsidRPr="008F0D97">
        <w:rPr>
          <w:rFonts w:ascii="Minion Pro" w:hAnsi="Minion Pro" w:cs="Times New Roman"/>
          <w:iCs/>
          <w:sz w:val="24"/>
          <w:szCs w:val="24"/>
        </w:rPr>
        <w:t xml:space="preserve">. </w:t>
      </w:r>
      <w:r w:rsidRPr="008F0D97">
        <w:rPr>
          <w:rFonts w:ascii="Minion Pro" w:hAnsi="Minion Pro" w:cs="Times New Roman"/>
          <w:iCs/>
          <w:sz w:val="24"/>
          <w:szCs w:val="24"/>
          <w:lang w:val="en-US"/>
        </w:rPr>
        <w:t xml:space="preserve">Beirut: </w:t>
      </w:r>
      <w:proofErr w:type="spellStart"/>
      <w:r w:rsidRPr="008F0D97">
        <w:rPr>
          <w:rFonts w:ascii="Minion Pro" w:hAnsi="Minion Pro" w:cs="Times New Roman"/>
          <w:iCs/>
          <w:sz w:val="24"/>
          <w:szCs w:val="24"/>
          <w:lang w:val="en-US"/>
        </w:rPr>
        <w:t>Dār</w:t>
      </w:r>
      <w:proofErr w:type="spellEnd"/>
      <w:r w:rsidRPr="008F0D97">
        <w:rPr>
          <w:rFonts w:ascii="Minion Pro" w:hAnsi="Minion Pro" w:cs="Times New Roman"/>
          <w:iCs/>
          <w:sz w:val="24"/>
          <w:szCs w:val="24"/>
          <w:lang w:val="en-US"/>
        </w:rPr>
        <w:t xml:space="preserve"> al-</w:t>
      </w:r>
      <w:proofErr w:type="spellStart"/>
      <w:r w:rsidRPr="008F0D97">
        <w:rPr>
          <w:rFonts w:ascii="Minion Pro" w:hAnsi="Minion Pro" w:cs="Times New Roman"/>
          <w:iCs/>
          <w:sz w:val="24"/>
          <w:szCs w:val="24"/>
          <w:lang w:val="en-US"/>
        </w:rPr>
        <w:t>Kutub</w:t>
      </w:r>
      <w:proofErr w:type="spellEnd"/>
      <w:r w:rsidRPr="008F0D97">
        <w:rPr>
          <w:rFonts w:ascii="Minion Pro" w:hAnsi="Minion Pro" w:cs="Times New Roman"/>
          <w:iCs/>
          <w:sz w:val="24"/>
          <w:szCs w:val="24"/>
          <w:lang w:val="en-US"/>
        </w:rPr>
        <w:t xml:space="preserve"> al</w:t>
      </w:r>
      <w:proofErr w:type="gramStart"/>
      <w:r w:rsidRPr="008F0D97">
        <w:rPr>
          <w:rFonts w:ascii="Minion Pro" w:hAnsi="Minion Pro" w:cs="Times New Roman"/>
          <w:iCs/>
          <w:sz w:val="24"/>
          <w:szCs w:val="24"/>
          <w:lang w:val="en-US"/>
        </w:rPr>
        <w:t>-‘</w:t>
      </w:r>
      <w:proofErr w:type="spellStart"/>
      <w:proofErr w:type="gramEnd"/>
      <w:r w:rsidRPr="008F0D97">
        <w:rPr>
          <w:rFonts w:ascii="Minion Pro" w:hAnsi="Minion Pro" w:cs="Times New Roman"/>
          <w:iCs/>
          <w:sz w:val="24"/>
          <w:szCs w:val="24"/>
          <w:lang w:val="en-US"/>
        </w:rPr>
        <w:t>Ilmiyyah</w:t>
      </w:r>
      <w:proofErr w:type="spellEnd"/>
      <w:r w:rsidRPr="008F0D97">
        <w:rPr>
          <w:rFonts w:ascii="Minion Pro" w:hAnsi="Minion Pro" w:cs="Times New Roman"/>
          <w:iCs/>
          <w:sz w:val="24"/>
          <w:szCs w:val="24"/>
          <w:lang w:val="en-US"/>
        </w:rPr>
        <w:t>, 2000</w:t>
      </w:r>
      <w:r w:rsidRPr="008F0D97">
        <w:rPr>
          <w:rFonts w:ascii="Minion Pro" w:hAnsi="Minion Pro" w:cs="Times New Roman"/>
          <w:iCs/>
          <w:sz w:val="24"/>
          <w:szCs w:val="24"/>
        </w:rPr>
        <w:t>.</w:t>
      </w:r>
    </w:p>
    <w:p w14:paraId="1917FBDE" w14:textId="77777777" w:rsidR="008F0D97" w:rsidRPr="008F0D97" w:rsidRDefault="008F0D97" w:rsidP="008F0D97">
      <w:pPr>
        <w:spacing w:line="240" w:lineRule="auto"/>
        <w:ind w:left="851" w:hanging="851"/>
        <w:jc w:val="both"/>
        <w:rPr>
          <w:rFonts w:ascii="Minion Pro" w:hAnsi="Minion Pro" w:cs="Times New Roman"/>
          <w:iCs/>
          <w:sz w:val="24"/>
          <w:szCs w:val="24"/>
        </w:rPr>
      </w:pPr>
      <w:proofErr w:type="spellStart"/>
      <w:r w:rsidRPr="008F0D97">
        <w:rPr>
          <w:rFonts w:ascii="Minion Pro" w:hAnsi="Minion Pro" w:cs="Times New Roman"/>
          <w:iCs/>
          <w:sz w:val="24"/>
          <w:szCs w:val="24"/>
          <w:lang w:val="en-US"/>
        </w:rPr>
        <w:t>Wieringa</w:t>
      </w:r>
      <w:proofErr w:type="spellEnd"/>
      <w:r w:rsidRPr="008F0D97">
        <w:rPr>
          <w:rFonts w:ascii="Minion Pro" w:hAnsi="Minion Pro" w:cs="Times New Roman"/>
          <w:iCs/>
          <w:sz w:val="24"/>
          <w:szCs w:val="24"/>
          <w:lang w:val="en-US"/>
        </w:rPr>
        <w:t>, Saskia Eleonora</w:t>
      </w:r>
      <w:r w:rsidRPr="008F0D97">
        <w:rPr>
          <w:rFonts w:ascii="Minion Pro" w:hAnsi="Minion Pro" w:cs="Times New Roman"/>
          <w:iCs/>
          <w:sz w:val="24"/>
          <w:szCs w:val="24"/>
        </w:rPr>
        <w:t>.</w:t>
      </w:r>
      <w:r w:rsidRPr="008F0D97">
        <w:rPr>
          <w:rFonts w:ascii="Minion Pro" w:hAnsi="Minion Pro" w:cs="Times New Roman"/>
          <w:iCs/>
          <w:sz w:val="24"/>
          <w:szCs w:val="24"/>
          <w:lang w:val="en-US"/>
        </w:rPr>
        <w:t xml:space="preserve"> </w:t>
      </w:r>
      <w:proofErr w:type="spellStart"/>
      <w:r w:rsidRPr="008F0D97">
        <w:rPr>
          <w:rFonts w:ascii="Minion Pro" w:hAnsi="Minion Pro" w:cs="Times New Roman"/>
          <w:i/>
          <w:iCs/>
          <w:sz w:val="24"/>
          <w:szCs w:val="24"/>
          <w:lang w:val="en-US"/>
        </w:rPr>
        <w:t>Penghancuran</w:t>
      </w:r>
      <w:proofErr w:type="spellEnd"/>
      <w:r w:rsidRPr="008F0D97">
        <w:rPr>
          <w:rFonts w:ascii="Minion Pro" w:hAnsi="Minion Pro" w:cs="Times New Roman"/>
          <w:i/>
          <w:iCs/>
          <w:sz w:val="24"/>
          <w:szCs w:val="24"/>
          <w:lang w:val="en-US"/>
        </w:rPr>
        <w:t xml:space="preserve"> Gerakan Perempuan: </w:t>
      </w:r>
      <w:proofErr w:type="spellStart"/>
      <w:r w:rsidRPr="008F0D97">
        <w:rPr>
          <w:rFonts w:ascii="Minion Pro" w:hAnsi="Minion Pro" w:cs="Times New Roman"/>
          <w:i/>
          <w:iCs/>
          <w:sz w:val="24"/>
          <w:szCs w:val="24"/>
          <w:lang w:val="en-US"/>
        </w:rPr>
        <w:t>Politik</w:t>
      </w:r>
      <w:proofErr w:type="spellEnd"/>
      <w:r w:rsidRPr="008F0D97">
        <w:rPr>
          <w:rFonts w:ascii="Minion Pro" w:hAnsi="Minion Pro" w:cs="Times New Roman"/>
          <w:i/>
          <w:iCs/>
          <w:sz w:val="24"/>
          <w:szCs w:val="24"/>
          <w:lang w:val="en-US"/>
        </w:rPr>
        <w:t xml:space="preserve"> </w:t>
      </w:r>
      <w:proofErr w:type="spellStart"/>
      <w:r w:rsidRPr="008F0D97">
        <w:rPr>
          <w:rFonts w:ascii="Minion Pro" w:hAnsi="Minion Pro" w:cs="Times New Roman"/>
          <w:i/>
          <w:iCs/>
          <w:sz w:val="24"/>
          <w:szCs w:val="24"/>
          <w:lang w:val="en-US"/>
        </w:rPr>
        <w:t>Seksual</w:t>
      </w:r>
      <w:proofErr w:type="spellEnd"/>
      <w:r w:rsidRPr="008F0D97">
        <w:rPr>
          <w:rFonts w:ascii="Minion Pro" w:hAnsi="Minion Pro" w:cs="Times New Roman"/>
          <w:i/>
          <w:iCs/>
          <w:sz w:val="24"/>
          <w:szCs w:val="24"/>
          <w:lang w:val="en-US"/>
        </w:rPr>
        <w:t xml:space="preserve"> di Indonesia </w:t>
      </w:r>
      <w:proofErr w:type="spellStart"/>
      <w:r w:rsidRPr="008F0D97">
        <w:rPr>
          <w:rFonts w:ascii="Minion Pro" w:hAnsi="Minion Pro" w:cs="Times New Roman"/>
          <w:i/>
          <w:iCs/>
          <w:sz w:val="24"/>
          <w:szCs w:val="24"/>
          <w:lang w:val="en-US"/>
        </w:rPr>
        <w:t>Pascakejatuhan</w:t>
      </w:r>
      <w:proofErr w:type="spellEnd"/>
      <w:r w:rsidRPr="008F0D97">
        <w:rPr>
          <w:rFonts w:ascii="Minion Pro" w:hAnsi="Minion Pro" w:cs="Times New Roman"/>
          <w:i/>
          <w:iCs/>
          <w:sz w:val="24"/>
          <w:szCs w:val="24"/>
          <w:lang w:val="en-US"/>
        </w:rPr>
        <w:t xml:space="preserve"> PKI</w:t>
      </w:r>
      <w:r w:rsidRPr="008F0D97">
        <w:rPr>
          <w:rFonts w:ascii="Minion Pro" w:hAnsi="Minion Pro" w:cs="Times New Roman"/>
          <w:iCs/>
          <w:sz w:val="24"/>
          <w:szCs w:val="24"/>
        </w:rPr>
        <w:t>.</w:t>
      </w:r>
      <w:r w:rsidRPr="008F0D97">
        <w:rPr>
          <w:rFonts w:ascii="Minion Pro" w:hAnsi="Minion Pro" w:cs="Times New Roman"/>
          <w:iCs/>
          <w:sz w:val="24"/>
          <w:szCs w:val="24"/>
          <w:lang w:val="en-US"/>
        </w:rPr>
        <w:t xml:space="preserve"> </w:t>
      </w:r>
      <w:r w:rsidRPr="008F0D97">
        <w:rPr>
          <w:rFonts w:ascii="Minion Pro" w:hAnsi="Minion Pro" w:cs="Times New Roman"/>
          <w:iCs/>
          <w:sz w:val="24"/>
          <w:szCs w:val="24"/>
        </w:rPr>
        <w:t>C</w:t>
      </w:r>
      <w:r w:rsidRPr="008F0D97">
        <w:rPr>
          <w:rFonts w:ascii="Minion Pro" w:hAnsi="Minion Pro" w:cs="Times New Roman"/>
          <w:iCs/>
          <w:sz w:val="24"/>
          <w:szCs w:val="24"/>
          <w:lang w:val="en-US"/>
        </w:rPr>
        <w:t>tk. I</w:t>
      </w:r>
      <w:r w:rsidRPr="008F0D97">
        <w:rPr>
          <w:rFonts w:ascii="Minion Pro" w:hAnsi="Minion Pro" w:cs="Times New Roman"/>
          <w:iCs/>
          <w:sz w:val="24"/>
          <w:szCs w:val="24"/>
        </w:rPr>
        <w:t xml:space="preserve">. </w:t>
      </w:r>
      <w:r w:rsidRPr="008F0D97">
        <w:rPr>
          <w:rFonts w:ascii="Minion Pro" w:hAnsi="Minion Pro" w:cs="Times New Roman"/>
          <w:iCs/>
          <w:sz w:val="24"/>
          <w:szCs w:val="24"/>
          <w:lang w:val="en-US"/>
        </w:rPr>
        <w:t xml:space="preserve">Yogyakarta: </w:t>
      </w:r>
      <w:proofErr w:type="spellStart"/>
      <w:r w:rsidRPr="008F0D97">
        <w:rPr>
          <w:rFonts w:ascii="Minion Pro" w:hAnsi="Minion Pro" w:cs="Times New Roman"/>
          <w:iCs/>
          <w:sz w:val="24"/>
          <w:szCs w:val="24"/>
          <w:lang w:val="en-US"/>
        </w:rPr>
        <w:t>Galangpress</w:t>
      </w:r>
      <w:proofErr w:type="spellEnd"/>
      <w:r w:rsidRPr="008F0D97">
        <w:rPr>
          <w:rFonts w:ascii="Minion Pro" w:hAnsi="Minion Pro" w:cs="Times New Roman"/>
          <w:iCs/>
          <w:sz w:val="24"/>
          <w:szCs w:val="24"/>
          <w:lang w:val="en-US"/>
        </w:rPr>
        <w:t>, 2010</w:t>
      </w:r>
      <w:r w:rsidRPr="008F0D97">
        <w:rPr>
          <w:rFonts w:ascii="Minion Pro" w:hAnsi="Minion Pro" w:cs="Times New Roman"/>
          <w:iCs/>
          <w:sz w:val="24"/>
          <w:szCs w:val="24"/>
        </w:rPr>
        <w:t>.</w:t>
      </w:r>
    </w:p>
    <w:p w14:paraId="48264386" w14:textId="77777777" w:rsidR="008F0D97" w:rsidRPr="008F0D97" w:rsidRDefault="00E05A8C" w:rsidP="008F0D97">
      <w:pPr>
        <w:spacing w:line="240" w:lineRule="auto"/>
        <w:ind w:left="851" w:hanging="851"/>
        <w:jc w:val="both"/>
        <w:rPr>
          <w:rFonts w:ascii="Minion Pro" w:hAnsi="Minion Pro" w:cs="Times New Roman"/>
          <w:iCs/>
          <w:sz w:val="24"/>
          <w:szCs w:val="24"/>
        </w:rPr>
      </w:pPr>
      <w:hyperlink r:id="rId9" w:history="1">
        <w:r w:rsidR="008F0D97" w:rsidRPr="008F0D97">
          <w:rPr>
            <w:rStyle w:val="Hyperlink"/>
            <w:rFonts w:ascii="Minion Pro" w:hAnsi="Minion Pro" w:cs="Times New Roman"/>
            <w:iCs/>
            <w:sz w:val="24"/>
            <w:szCs w:val="24"/>
          </w:rPr>
          <w:t>Https://drive.google.com/file/d/1YFzLjQ6pjWqhXuwx8YwpSL_fbYJWdyit/view</w:t>
        </w:r>
      </w:hyperlink>
      <w:r w:rsidR="008F0D97" w:rsidRPr="008F0D97">
        <w:rPr>
          <w:rFonts w:ascii="Minion Pro" w:hAnsi="Minion Pro" w:cs="Times New Roman"/>
          <w:iCs/>
          <w:sz w:val="24"/>
          <w:szCs w:val="24"/>
        </w:rPr>
        <w:t xml:space="preserve"> (akses 1 Januari 2021). </w:t>
      </w:r>
    </w:p>
    <w:p w14:paraId="7EF93747" w14:textId="77777777" w:rsidR="008F0D97" w:rsidRPr="008F0D97" w:rsidRDefault="008F0D97" w:rsidP="008F0D97">
      <w:pPr>
        <w:spacing w:line="240" w:lineRule="auto"/>
        <w:ind w:left="851" w:hanging="851"/>
        <w:jc w:val="both"/>
        <w:rPr>
          <w:rFonts w:ascii="Minion Pro" w:hAnsi="Minion Pro" w:cs="Times New Roman"/>
          <w:iCs/>
          <w:sz w:val="24"/>
          <w:szCs w:val="24"/>
          <w:lang w:val="en-US"/>
        </w:rPr>
      </w:pPr>
      <w:r w:rsidRPr="008F0D97">
        <w:rPr>
          <w:rFonts w:ascii="Minion Pro" w:hAnsi="Minion Pro" w:cs="Times New Roman"/>
          <w:iCs/>
          <w:sz w:val="24"/>
          <w:szCs w:val="24"/>
        </w:rPr>
        <w:t xml:space="preserve">Ghazali, Abdul Muqsith (ed.). </w:t>
      </w:r>
      <w:r w:rsidRPr="008F0D97">
        <w:rPr>
          <w:rFonts w:ascii="Minion Pro" w:hAnsi="Minion Pro" w:cs="Times New Roman"/>
          <w:i/>
          <w:iCs/>
          <w:sz w:val="24"/>
          <w:szCs w:val="24"/>
        </w:rPr>
        <w:t>K.H. Afifuddin Muhajir: Faqih-Ushuli dari Timur</w:t>
      </w:r>
      <w:r w:rsidRPr="008F0D97">
        <w:rPr>
          <w:rFonts w:ascii="Minion Pro" w:hAnsi="Minion Pro" w:cs="Times New Roman"/>
          <w:iCs/>
          <w:sz w:val="24"/>
          <w:szCs w:val="24"/>
        </w:rPr>
        <w:t xml:space="preserve">. Ctk. </w:t>
      </w:r>
      <w:r w:rsidRPr="008F0D97">
        <w:rPr>
          <w:rFonts w:ascii="Minion Pro" w:hAnsi="Minion Pro" w:cs="Times New Roman"/>
          <w:iCs/>
          <w:sz w:val="24"/>
          <w:szCs w:val="24"/>
          <w:lang w:val="en-US"/>
        </w:rPr>
        <w:t>I</w:t>
      </w:r>
      <w:r w:rsidRPr="008F0D97">
        <w:rPr>
          <w:rFonts w:ascii="Minion Pro" w:hAnsi="Minion Pro" w:cs="Times New Roman"/>
          <w:iCs/>
          <w:sz w:val="24"/>
          <w:szCs w:val="24"/>
        </w:rPr>
        <w:t>.</w:t>
      </w:r>
      <w:r w:rsidRPr="008F0D97">
        <w:rPr>
          <w:rFonts w:ascii="Minion Pro" w:hAnsi="Minion Pro" w:cs="Times New Roman"/>
          <w:iCs/>
          <w:sz w:val="24"/>
          <w:szCs w:val="24"/>
          <w:lang w:val="en-US"/>
        </w:rPr>
        <w:t xml:space="preserve"> Malang: </w:t>
      </w:r>
      <w:proofErr w:type="spellStart"/>
      <w:r w:rsidRPr="008F0D97">
        <w:rPr>
          <w:rFonts w:ascii="Minion Pro" w:hAnsi="Minion Pro" w:cs="Times New Roman"/>
          <w:iCs/>
          <w:sz w:val="24"/>
          <w:szCs w:val="24"/>
          <w:lang w:val="en-US"/>
        </w:rPr>
        <w:t>Intelegensia</w:t>
      </w:r>
      <w:proofErr w:type="spellEnd"/>
      <w:r w:rsidRPr="008F0D97">
        <w:rPr>
          <w:rFonts w:ascii="Minion Pro" w:hAnsi="Minion Pro" w:cs="Times New Roman"/>
          <w:iCs/>
          <w:sz w:val="24"/>
          <w:szCs w:val="24"/>
          <w:lang w:val="en-US"/>
        </w:rPr>
        <w:t xml:space="preserve"> Media, 2021.</w:t>
      </w:r>
    </w:p>
    <w:p w14:paraId="39CAA990" w14:textId="77777777" w:rsidR="008F0D97" w:rsidRPr="008F0D97" w:rsidRDefault="008F0D97" w:rsidP="008F0D97">
      <w:pPr>
        <w:spacing w:line="240" w:lineRule="auto"/>
        <w:ind w:left="851" w:hanging="851"/>
        <w:jc w:val="both"/>
        <w:rPr>
          <w:rFonts w:ascii="Minion Pro" w:hAnsi="Minion Pro" w:cs="Times New Roman"/>
          <w:iCs/>
          <w:sz w:val="24"/>
          <w:szCs w:val="24"/>
        </w:rPr>
      </w:pPr>
      <w:r w:rsidRPr="008F0D97">
        <w:rPr>
          <w:rFonts w:ascii="Minion Pro" w:hAnsi="Minion Pro" w:cs="Times New Roman"/>
          <w:iCs/>
          <w:sz w:val="24"/>
          <w:szCs w:val="24"/>
        </w:rPr>
        <w:t xml:space="preserve">Fealy, Greg. </w:t>
      </w:r>
      <w:r w:rsidRPr="008F0D97">
        <w:rPr>
          <w:rFonts w:ascii="Minion Pro" w:hAnsi="Minion Pro" w:cs="Times New Roman"/>
          <w:i/>
          <w:iCs/>
          <w:sz w:val="24"/>
          <w:szCs w:val="24"/>
        </w:rPr>
        <w:t>Ijtihad Politik Ulama: Sejarah NU 1952-1967</w:t>
      </w:r>
      <w:r w:rsidRPr="008F0D97">
        <w:rPr>
          <w:rFonts w:ascii="Minion Pro" w:hAnsi="Minion Pro" w:cs="Times New Roman"/>
          <w:iCs/>
          <w:sz w:val="24"/>
          <w:szCs w:val="24"/>
        </w:rPr>
        <w:t>. Terj. oleh Farid Wajidi dan Mulni Adelina Bachtiar. C</w:t>
      </w:r>
      <w:proofErr w:type="spellStart"/>
      <w:r w:rsidRPr="008F0D97">
        <w:rPr>
          <w:rFonts w:ascii="Minion Pro" w:hAnsi="Minion Pro" w:cs="Times New Roman"/>
          <w:iCs/>
          <w:sz w:val="24"/>
          <w:szCs w:val="24"/>
          <w:lang w:val="en-US"/>
        </w:rPr>
        <w:t>tk</w:t>
      </w:r>
      <w:proofErr w:type="spellEnd"/>
      <w:r w:rsidRPr="008F0D97">
        <w:rPr>
          <w:rFonts w:ascii="Minion Pro" w:hAnsi="Minion Pro" w:cs="Times New Roman"/>
          <w:iCs/>
          <w:sz w:val="24"/>
          <w:szCs w:val="24"/>
        </w:rPr>
        <w:t>. I. Yogyakarta: LKiS, 2003.</w:t>
      </w:r>
    </w:p>
    <w:p w14:paraId="2ED7BC13" w14:textId="77777777" w:rsidR="008F0D97" w:rsidRPr="008F0D97" w:rsidRDefault="008F0D97" w:rsidP="008F0D97">
      <w:pPr>
        <w:spacing w:line="240" w:lineRule="auto"/>
        <w:ind w:left="851" w:hanging="851"/>
        <w:jc w:val="both"/>
        <w:rPr>
          <w:rFonts w:ascii="Minion Pro" w:hAnsi="Minion Pro" w:cs="Times New Roman"/>
          <w:iCs/>
          <w:sz w:val="24"/>
          <w:szCs w:val="24"/>
        </w:rPr>
      </w:pPr>
      <w:r w:rsidRPr="008F0D97">
        <w:rPr>
          <w:rFonts w:ascii="Minion Pro" w:hAnsi="Minion Pro" w:cs="Times New Roman"/>
          <w:iCs/>
          <w:sz w:val="24"/>
          <w:szCs w:val="24"/>
        </w:rPr>
        <w:t xml:space="preserve">PWNU Jawa Timur. </w:t>
      </w:r>
      <w:r w:rsidRPr="008F0D97">
        <w:rPr>
          <w:rFonts w:ascii="Minion Pro" w:hAnsi="Minion Pro" w:cs="Times New Roman"/>
          <w:i/>
          <w:iCs/>
          <w:sz w:val="24"/>
          <w:szCs w:val="24"/>
        </w:rPr>
        <w:t>NU Menjawab Problematika Umat: Keputusan Bahtsul Masail PWNU Jawa Timur</w:t>
      </w:r>
      <w:r w:rsidRPr="008F0D97">
        <w:rPr>
          <w:rFonts w:ascii="Minion Pro" w:hAnsi="Minion Pro" w:cs="Times New Roman"/>
          <w:iCs/>
          <w:sz w:val="24"/>
          <w:szCs w:val="24"/>
        </w:rPr>
        <w:t>. Surabaya: Khalista dan Al-Maba, 2010.</w:t>
      </w:r>
    </w:p>
    <w:p w14:paraId="2556F8AD" w14:textId="77777777" w:rsidR="008F0D97" w:rsidRPr="008F0D97" w:rsidRDefault="008F0D97" w:rsidP="008F0D97">
      <w:pPr>
        <w:spacing w:line="240" w:lineRule="auto"/>
        <w:ind w:left="851" w:hanging="851"/>
        <w:jc w:val="both"/>
        <w:rPr>
          <w:rFonts w:ascii="Minion Pro" w:hAnsi="Minion Pro" w:cs="Times New Roman"/>
          <w:iCs/>
          <w:sz w:val="24"/>
          <w:szCs w:val="24"/>
        </w:rPr>
      </w:pPr>
      <w:r w:rsidRPr="008F0D97">
        <w:rPr>
          <w:rFonts w:ascii="Minion Pro" w:hAnsi="Minion Pro" w:cs="Times New Roman"/>
          <w:iCs/>
          <w:sz w:val="24"/>
          <w:szCs w:val="24"/>
        </w:rPr>
        <w:t xml:space="preserve">_____. </w:t>
      </w:r>
      <w:r w:rsidRPr="008F0D97">
        <w:rPr>
          <w:rFonts w:ascii="Minion Pro" w:hAnsi="Minion Pro" w:cs="Times New Roman"/>
          <w:i/>
          <w:iCs/>
          <w:sz w:val="24"/>
          <w:szCs w:val="24"/>
        </w:rPr>
        <w:t>NU Menjawab Problematika Umat: Keputusan Bahtsul Masail PWNU Jawa Timur (1991-2013)</w:t>
      </w:r>
      <w:r w:rsidRPr="008F0D97">
        <w:rPr>
          <w:rFonts w:ascii="Minion Pro" w:hAnsi="Minion Pro" w:cs="Times New Roman"/>
          <w:iCs/>
          <w:sz w:val="24"/>
          <w:szCs w:val="24"/>
        </w:rPr>
        <w:t>. Ctk. I. Surabaya: Bina ASWAJA, 2013.</w:t>
      </w:r>
    </w:p>
    <w:p w14:paraId="148EBB2C" w14:textId="77777777" w:rsidR="008F0D97" w:rsidRPr="008F0D97" w:rsidRDefault="008F0D97" w:rsidP="008F0D97">
      <w:pPr>
        <w:spacing w:line="240" w:lineRule="auto"/>
        <w:ind w:left="851" w:hanging="851"/>
        <w:jc w:val="both"/>
        <w:rPr>
          <w:rFonts w:ascii="Minion Pro" w:hAnsi="Minion Pro" w:cs="Times New Roman"/>
          <w:iCs/>
          <w:sz w:val="24"/>
          <w:szCs w:val="24"/>
          <w:vertAlign w:val="superscript"/>
        </w:rPr>
      </w:pPr>
      <w:r w:rsidRPr="008F0D97">
        <w:rPr>
          <w:rFonts w:ascii="Minion Pro" w:hAnsi="Minion Pro" w:cs="Times New Roman"/>
          <w:iCs/>
          <w:sz w:val="24"/>
          <w:szCs w:val="24"/>
        </w:rPr>
        <w:t xml:space="preserve">Khuluq, Lathiful. </w:t>
      </w:r>
      <w:r w:rsidRPr="008F0D97">
        <w:rPr>
          <w:rFonts w:ascii="Minion Pro" w:hAnsi="Minion Pro" w:cs="Times New Roman"/>
          <w:i/>
          <w:iCs/>
          <w:sz w:val="24"/>
          <w:szCs w:val="24"/>
        </w:rPr>
        <w:t>Fajar Kebangunan Ulama: Biografi K.H. Hasyim Asy‘ari</w:t>
      </w:r>
      <w:r w:rsidRPr="008F0D97">
        <w:rPr>
          <w:rFonts w:ascii="Minion Pro" w:hAnsi="Minion Pro" w:cs="Times New Roman"/>
          <w:iCs/>
          <w:sz w:val="24"/>
          <w:szCs w:val="24"/>
        </w:rPr>
        <w:t>. Ctk. V. Yogyakarta: LKiS, 2009.</w:t>
      </w:r>
    </w:p>
    <w:p w14:paraId="42AF54E9" w14:textId="77777777" w:rsidR="008F0D97" w:rsidRPr="008F0D97" w:rsidRDefault="008F0D97" w:rsidP="008F0D97">
      <w:pPr>
        <w:spacing w:line="240" w:lineRule="auto"/>
        <w:ind w:left="851" w:hanging="851"/>
        <w:jc w:val="both"/>
        <w:rPr>
          <w:rFonts w:ascii="Minion Pro" w:hAnsi="Minion Pro" w:cs="Times New Roman"/>
          <w:iCs/>
          <w:sz w:val="24"/>
          <w:szCs w:val="24"/>
          <w:vertAlign w:val="superscript"/>
        </w:rPr>
      </w:pPr>
      <w:r w:rsidRPr="008F0D97">
        <w:rPr>
          <w:rFonts w:ascii="Minion Pro" w:hAnsi="Minion Pro" w:cs="Times New Roman"/>
          <w:iCs/>
          <w:sz w:val="24"/>
          <w:szCs w:val="24"/>
        </w:rPr>
        <w:lastRenderedPageBreak/>
        <w:t xml:space="preserve">Azra, Azyumardi. “1530–1670: A Race between Islam and Christianity?”. Dalam Jan S. Aritonang dan Karel Steenbrink (ed.). </w:t>
      </w:r>
      <w:r w:rsidRPr="008F0D97">
        <w:rPr>
          <w:rFonts w:ascii="Minion Pro" w:hAnsi="Minion Pro" w:cs="Times New Roman"/>
          <w:i/>
          <w:iCs/>
          <w:sz w:val="24"/>
          <w:szCs w:val="24"/>
        </w:rPr>
        <w:t>A History of Christianity in Indonesia</w:t>
      </w:r>
      <w:r w:rsidRPr="008F0D97">
        <w:rPr>
          <w:rFonts w:ascii="Minion Pro" w:hAnsi="Minion Pro" w:cs="Times New Roman"/>
          <w:iCs/>
          <w:sz w:val="24"/>
          <w:szCs w:val="24"/>
        </w:rPr>
        <w:t>. Ctk. I. Leiden dan Boston: Brill, 2008.</w:t>
      </w:r>
    </w:p>
    <w:p w14:paraId="5B5944E3" w14:textId="77777777" w:rsidR="008F0D97" w:rsidRPr="008F0D97" w:rsidRDefault="008F0D97" w:rsidP="008F0D97">
      <w:pPr>
        <w:spacing w:line="240" w:lineRule="auto"/>
        <w:ind w:left="851" w:hanging="851"/>
        <w:jc w:val="both"/>
        <w:rPr>
          <w:rFonts w:ascii="Minion Pro" w:hAnsi="Minion Pro" w:cs="Times New Roman"/>
          <w:iCs/>
          <w:sz w:val="24"/>
          <w:szCs w:val="24"/>
        </w:rPr>
      </w:pPr>
      <w:r w:rsidRPr="008F0D97">
        <w:rPr>
          <w:rFonts w:ascii="Minion Pro" w:hAnsi="Minion Pro" w:cs="Times New Roman"/>
          <w:iCs/>
          <w:sz w:val="24"/>
          <w:szCs w:val="24"/>
        </w:rPr>
        <w:t>Irfan, Agus. “</w:t>
      </w:r>
      <w:r w:rsidRPr="008F0D97">
        <w:rPr>
          <w:rFonts w:ascii="Minion Pro" w:hAnsi="Minion Pro" w:cs="Times New Roman"/>
          <w:i/>
          <w:iCs/>
          <w:sz w:val="24"/>
          <w:szCs w:val="24"/>
        </w:rPr>
        <w:t>Local Wisdom</w:t>
      </w:r>
      <w:r w:rsidRPr="008F0D97">
        <w:rPr>
          <w:rFonts w:ascii="Minion Pro" w:hAnsi="Minion Pro" w:cs="Times New Roman"/>
          <w:iCs/>
          <w:sz w:val="24"/>
          <w:szCs w:val="24"/>
        </w:rPr>
        <w:t xml:space="preserve"> dalam Pemikiran Kyai Sholeh Darat: Telaah terhadap Kitab Fiqh </w:t>
      </w:r>
      <w:r w:rsidRPr="008F0D97">
        <w:rPr>
          <w:rFonts w:ascii="Minion Pro" w:hAnsi="Minion Pro" w:cs="Times New Roman"/>
          <w:i/>
          <w:iCs/>
          <w:sz w:val="24"/>
          <w:szCs w:val="24"/>
        </w:rPr>
        <w:t>Majmū‘āt al-Sharī‘ah al-Kāfiyah li al-‘Awām</w:t>
      </w:r>
      <w:r w:rsidRPr="008F0D97">
        <w:rPr>
          <w:rFonts w:ascii="Minion Pro" w:hAnsi="Minion Pro" w:cs="Times New Roman"/>
          <w:iCs/>
          <w:sz w:val="24"/>
          <w:szCs w:val="24"/>
        </w:rPr>
        <w:t xml:space="preserve">”. </w:t>
      </w:r>
      <w:r w:rsidRPr="008F0D97">
        <w:rPr>
          <w:rFonts w:ascii="Minion Pro" w:hAnsi="Minion Pro" w:cs="Times New Roman"/>
          <w:i/>
          <w:iCs/>
          <w:sz w:val="24"/>
          <w:szCs w:val="24"/>
        </w:rPr>
        <w:t>Ulul Albab: Jurnal Studi dan Penelitian Hukum Islam</w:t>
      </w:r>
      <w:r w:rsidRPr="008F0D97">
        <w:rPr>
          <w:rFonts w:ascii="Minion Pro" w:hAnsi="Minion Pro" w:cs="Times New Roman"/>
          <w:iCs/>
          <w:sz w:val="24"/>
          <w:szCs w:val="24"/>
        </w:rPr>
        <w:t>. Vol. 1, No. 1 (Oktober 2017).</w:t>
      </w:r>
    </w:p>
    <w:p w14:paraId="0AB494EE" w14:textId="77777777" w:rsidR="008F0D97" w:rsidRPr="008F0D97" w:rsidRDefault="008F0D97" w:rsidP="008F0D97">
      <w:pPr>
        <w:spacing w:line="240" w:lineRule="auto"/>
        <w:ind w:left="851" w:hanging="851"/>
        <w:jc w:val="both"/>
        <w:rPr>
          <w:rFonts w:ascii="Minion Pro" w:hAnsi="Minion Pro" w:cs="Times New Roman"/>
          <w:iCs/>
          <w:sz w:val="24"/>
          <w:szCs w:val="24"/>
          <w:vertAlign w:val="superscript"/>
          <w:lang w:val="en-US"/>
        </w:rPr>
      </w:pPr>
      <w:proofErr w:type="spellStart"/>
      <w:r w:rsidRPr="008F0D97">
        <w:rPr>
          <w:rFonts w:ascii="Minion Pro" w:hAnsi="Minion Pro" w:cs="Times New Roman"/>
          <w:iCs/>
          <w:sz w:val="24"/>
          <w:szCs w:val="24"/>
          <w:lang w:val="en-US"/>
        </w:rPr>
        <w:t>Ricklefs</w:t>
      </w:r>
      <w:proofErr w:type="spellEnd"/>
      <w:r w:rsidRPr="008F0D97">
        <w:rPr>
          <w:rFonts w:ascii="Minion Pro" w:hAnsi="Minion Pro" w:cs="Times New Roman"/>
          <w:iCs/>
          <w:sz w:val="24"/>
          <w:szCs w:val="24"/>
        </w:rPr>
        <w:t xml:space="preserve">, </w:t>
      </w:r>
      <w:r w:rsidRPr="008F0D97">
        <w:rPr>
          <w:rFonts w:ascii="Minion Pro" w:hAnsi="Minion Pro" w:cs="Times New Roman"/>
          <w:iCs/>
          <w:sz w:val="24"/>
          <w:szCs w:val="24"/>
          <w:lang w:val="en-US"/>
        </w:rPr>
        <w:t xml:space="preserve">M.C. </w:t>
      </w:r>
      <w:r w:rsidRPr="008F0D97">
        <w:rPr>
          <w:rFonts w:ascii="Minion Pro" w:hAnsi="Minion Pro" w:cs="Times New Roman"/>
          <w:i/>
          <w:iCs/>
          <w:sz w:val="24"/>
          <w:szCs w:val="24"/>
        </w:rPr>
        <w:t>Mengislamkan Jawa: Sejarah Islamisasi di Jawa dan Penentangnya dari 1930 sampai Sekarang</w:t>
      </w:r>
      <w:r w:rsidRPr="008F0D97">
        <w:rPr>
          <w:rFonts w:ascii="Minion Pro" w:hAnsi="Minion Pro" w:cs="Times New Roman"/>
          <w:iCs/>
          <w:sz w:val="24"/>
          <w:szCs w:val="24"/>
        </w:rPr>
        <w:t>. C</w:t>
      </w:r>
      <w:proofErr w:type="spellStart"/>
      <w:r w:rsidRPr="008F0D97">
        <w:rPr>
          <w:rFonts w:ascii="Minion Pro" w:hAnsi="Minion Pro" w:cs="Times New Roman"/>
          <w:iCs/>
          <w:sz w:val="24"/>
          <w:szCs w:val="24"/>
          <w:lang w:val="en-US"/>
        </w:rPr>
        <w:t>tk</w:t>
      </w:r>
      <w:proofErr w:type="spellEnd"/>
      <w:r w:rsidRPr="008F0D97">
        <w:rPr>
          <w:rFonts w:ascii="Minion Pro" w:hAnsi="Minion Pro" w:cs="Times New Roman"/>
          <w:iCs/>
          <w:sz w:val="24"/>
          <w:szCs w:val="24"/>
        </w:rPr>
        <w:t xml:space="preserve">. </w:t>
      </w:r>
      <w:r w:rsidRPr="008F0D97">
        <w:rPr>
          <w:rFonts w:ascii="Minion Pro" w:hAnsi="Minion Pro" w:cs="Times New Roman"/>
          <w:iCs/>
          <w:sz w:val="24"/>
          <w:szCs w:val="24"/>
          <w:lang w:val="en-US"/>
        </w:rPr>
        <w:t>I</w:t>
      </w:r>
      <w:r w:rsidRPr="008F0D97">
        <w:rPr>
          <w:rFonts w:ascii="Minion Pro" w:hAnsi="Minion Pro" w:cs="Times New Roman"/>
          <w:iCs/>
          <w:sz w:val="24"/>
          <w:szCs w:val="24"/>
        </w:rPr>
        <w:t>. Jakarta: PT Serambi Ilmu Semesta, 2013.</w:t>
      </w:r>
    </w:p>
    <w:p w14:paraId="4CC2277B" w14:textId="77777777" w:rsidR="008F0D97" w:rsidRPr="008F0D97" w:rsidRDefault="008F0D97" w:rsidP="008F0D97">
      <w:pPr>
        <w:spacing w:line="240" w:lineRule="auto"/>
        <w:ind w:left="851" w:hanging="851"/>
        <w:jc w:val="both"/>
        <w:rPr>
          <w:rFonts w:ascii="Minion Pro" w:hAnsi="Minion Pro" w:cs="Times New Roman"/>
          <w:iCs/>
          <w:sz w:val="24"/>
          <w:szCs w:val="24"/>
          <w:vertAlign w:val="superscript"/>
        </w:rPr>
      </w:pPr>
      <w:r w:rsidRPr="008F0D97">
        <w:rPr>
          <w:rFonts w:ascii="Minion Pro" w:hAnsi="Minion Pro" w:cs="Times New Roman"/>
          <w:iCs/>
          <w:sz w:val="24"/>
          <w:szCs w:val="24"/>
        </w:rPr>
        <w:t xml:space="preserve">_____. </w:t>
      </w:r>
      <w:r w:rsidRPr="008F0D97">
        <w:rPr>
          <w:rFonts w:ascii="Minion Pro" w:hAnsi="Minion Pro" w:cs="Times New Roman"/>
          <w:i/>
          <w:iCs/>
          <w:sz w:val="24"/>
          <w:szCs w:val="24"/>
        </w:rPr>
        <w:t>Polarising Javanese Society: Islamic and Other Visions (c. 1830-1900)</w:t>
      </w:r>
      <w:r w:rsidRPr="008F0D97">
        <w:rPr>
          <w:rFonts w:ascii="Minion Pro" w:hAnsi="Minion Pro" w:cs="Times New Roman"/>
          <w:iCs/>
          <w:sz w:val="24"/>
          <w:szCs w:val="24"/>
        </w:rPr>
        <w:t>. Ctk. I. Singapura: National University of Singapore, 2007.</w:t>
      </w:r>
    </w:p>
    <w:p w14:paraId="2CC0570F" w14:textId="77777777" w:rsidR="008F0D97" w:rsidRDefault="008F0D97" w:rsidP="008F0D97">
      <w:pPr>
        <w:spacing w:line="240" w:lineRule="auto"/>
        <w:ind w:left="851" w:hanging="851"/>
        <w:jc w:val="both"/>
        <w:rPr>
          <w:rFonts w:ascii="Minion Pro" w:hAnsi="Minion Pro" w:cs="Times New Roman"/>
          <w:iCs/>
          <w:sz w:val="24"/>
          <w:szCs w:val="24"/>
        </w:rPr>
      </w:pPr>
      <w:r w:rsidRPr="008F0D97">
        <w:rPr>
          <w:rFonts w:ascii="Minion Pro" w:hAnsi="Minion Pro" w:cs="Times New Roman"/>
          <w:iCs/>
          <w:sz w:val="24"/>
          <w:szCs w:val="24"/>
        </w:rPr>
        <w:t xml:space="preserve">Barton, Greg. </w:t>
      </w:r>
      <w:r w:rsidRPr="008F0D97">
        <w:rPr>
          <w:rFonts w:ascii="Minion Pro" w:hAnsi="Minion Pro" w:cs="Times New Roman"/>
          <w:i/>
          <w:iCs/>
          <w:sz w:val="24"/>
          <w:szCs w:val="24"/>
        </w:rPr>
        <w:t>Abdurrahman Wahid, Muslim Democrat, Indonesian President: A View from the Inside</w:t>
      </w:r>
      <w:r w:rsidRPr="008F0D97">
        <w:rPr>
          <w:rFonts w:ascii="Minion Pro" w:hAnsi="Minion Pro" w:cs="Times New Roman"/>
          <w:iCs/>
          <w:sz w:val="24"/>
          <w:szCs w:val="24"/>
        </w:rPr>
        <w:t>. Ctk. I. Australia: A UNSW Press, 2002.</w:t>
      </w:r>
    </w:p>
    <w:sectPr w:rsidR="008F0D97" w:rsidSect="007C2769">
      <w:headerReference w:type="even" r:id="rId10"/>
      <w:headerReference w:type="default" r:id="rId11"/>
      <w:footerReference w:type="even" r:id="rId12"/>
      <w:footerReference w:type="default" r:id="rId13"/>
      <w:pgSz w:w="9937" w:h="14459" w:code="9"/>
      <w:pgMar w:top="851" w:right="964" w:bottom="1134" w:left="964" w:header="709" w:footer="397" w:gutter="0"/>
      <w:pgNumType w:start="1"/>
      <w:cols w:space="5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0ACAF" w14:textId="77777777" w:rsidR="00E05A8C" w:rsidRDefault="00E05A8C" w:rsidP="00C83139">
      <w:pPr>
        <w:spacing w:after="0" w:line="240" w:lineRule="auto"/>
      </w:pPr>
      <w:r>
        <w:separator/>
      </w:r>
    </w:p>
  </w:endnote>
  <w:endnote w:type="continuationSeparator" w:id="0">
    <w:p w14:paraId="7DBE9FE1" w14:textId="77777777" w:rsidR="00E05A8C" w:rsidRDefault="00E05A8C" w:rsidP="00C83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Noto Sans">
    <w:altName w:val="Calibri"/>
    <w:charset w:val="00"/>
    <w:family w:val="swiss"/>
    <w:pitch w:val="variable"/>
    <w:sig w:usb0="00000001" w:usb1="00000000" w:usb2="00000000" w:usb3="00000000" w:csb0="0000019F" w:csb1="00000000"/>
  </w:font>
  <w:font w:name="Bebas Neue">
    <w:panose1 w:val="00000500000000000000"/>
    <w:charset w:val="00"/>
    <w:family w:val="modern"/>
    <w:notTrueType/>
    <w:pitch w:val="variable"/>
    <w:sig w:usb0="A000022F" w:usb1="1000005B" w:usb2="00000000" w:usb3="00000000" w:csb0="00000097" w:csb1="00000000"/>
  </w:font>
  <w:font w:name="Minion Pro">
    <w:panose1 w:val="02040503050306020203"/>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00050" w14:textId="77777777" w:rsidR="00B85B9C" w:rsidRPr="00A756A9" w:rsidRDefault="00B85B9C" w:rsidP="00177392">
    <w:pPr>
      <w:pStyle w:val="Footer"/>
      <w:jc w:val="right"/>
      <w:rPr>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D212D" w14:textId="77777777" w:rsidR="00B85B9C" w:rsidRPr="009072E8" w:rsidRDefault="00B85B9C" w:rsidP="00177392">
    <w:pPr>
      <w:pStyle w:val="Footer"/>
      <w:jc w:val="right"/>
      <w:rPr>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BAF48" w14:textId="77777777" w:rsidR="00E05A8C" w:rsidRDefault="00E05A8C" w:rsidP="00C83139">
      <w:pPr>
        <w:spacing w:after="0" w:line="240" w:lineRule="auto"/>
      </w:pPr>
      <w:r>
        <w:separator/>
      </w:r>
    </w:p>
  </w:footnote>
  <w:footnote w:type="continuationSeparator" w:id="0">
    <w:p w14:paraId="5573F836" w14:textId="77777777" w:rsidR="00E05A8C" w:rsidRDefault="00E05A8C" w:rsidP="00C83139">
      <w:pPr>
        <w:spacing w:after="0" w:line="240" w:lineRule="auto"/>
      </w:pPr>
      <w:r>
        <w:continuationSeparator/>
      </w:r>
    </w:p>
  </w:footnote>
  <w:footnote w:id="1">
    <w:p w14:paraId="57181668" w14:textId="77777777" w:rsidR="00C613CC" w:rsidRPr="007C2769" w:rsidRDefault="00C613CC" w:rsidP="007C2769">
      <w:pPr>
        <w:pStyle w:val="FootnoteText"/>
        <w:ind w:firstLine="567"/>
        <w:jc w:val="both"/>
        <w:rPr>
          <w:color w:val="7F7F7F" w:themeColor="text1" w:themeTint="80"/>
        </w:rPr>
      </w:pPr>
      <w:r w:rsidRPr="007C2769">
        <w:rPr>
          <w:rStyle w:val="FootnoteReference"/>
          <w:color w:val="7F7F7F" w:themeColor="text1" w:themeTint="80"/>
        </w:rPr>
        <w:footnoteRef/>
      </w:r>
      <w:r w:rsidRPr="007C2769">
        <w:rPr>
          <w:color w:val="7F7F7F" w:themeColor="text1" w:themeTint="80"/>
        </w:rPr>
        <w:t xml:space="preserve"> Martin van Bruinessen, </w:t>
      </w:r>
      <w:r w:rsidRPr="007C2769">
        <w:rPr>
          <w:i/>
          <w:iCs/>
          <w:color w:val="7F7F7F" w:themeColor="text1" w:themeTint="80"/>
        </w:rPr>
        <w:t>NU: Tradisi, Relasi-relasi Kuasa, Pencarian Wacana Baru</w:t>
      </w:r>
      <w:r w:rsidRPr="007C2769">
        <w:rPr>
          <w:color w:val="7F7F7F" w:themeColor="text1" w:themeTint="80"/>
        </w:rPr>
        <w:t xml:space="preserve">, ctk. V (Yogyakarta: LkiS, 2008), hlm. 187-222; Andrèe Feillard, </w:t>
      </w:r>
      <w:r w:rsidRPr="007C2769">
        <w:rPr>
          <w:i/>
          <w:iCs/>
          <w:color w:val="7F7F7F" w:themeColor="text1" w:themeTint="80"/>
        </w:rPr>
        <w:t>NU vis-a-vis Negara: Pencarian Isi, Bentuk, dan Makna</w:t>
      </w:r>
      <w:r w:rsidRPr="007C2769">
        <w:rPr>
          <w:color w:val="7F7F7F" w:themeColor="text1" w:themeTint="80"/>
        </w:rPr>
        <w:t>, terj. oleh Lesmana, ctk. III (Yogyakarta: LkiS, 2009), hlm. 338-345.</w:t>
      </w:r>
    </w:p>
  </w:footnote>
  <w:footnote w:id="2">
    <w:p w14:paraId="500E5540" w14:textId="77777777" w:rsidR="00C613CC" w:rsidRPr="007C2769" w:rsidRDefault="00C613CC" w:rsidP="007C2769">
      <w:pPr>
        <w:pStyle w:val="FootnoteText"/>
        <w:ind w:firstLine="567"/>
        <w:jc w:val="both"/>
        <w:rPr>
          <w:color w:val="7F7F7F" w:themeColor="text1" w:themeTint="80"/>
        </w:rPr>
      </w:pPr>
      <w:r w:rsidRPr="007C2769">
        <w:rPr>
          <w:rStyle w:val="FootnoteReference"/>
          <w:color w:val="7F7F7F" w:themeColor="text1" w:themeTint="80"/>
        </w:rPr>
        <w:footnoteRef/>
      </w:r>
      <w:r w:rsidRPr="007C2769">
        <w:rPr>
          <w:color w:val="7F7F7F" w:themeColor="text1" w:themeTint="80"/>
        </w:rPr>
        <w:t xml:space="preserve"> LTN-PBNU, </w:t>
      </w:r>
      <w:r w:rsidRPr="007C2769">
        <w:rPr>
          <w:i/>
          <w:iCs/>
          <w:color w:val="7F7F7F" w:themeColor="text1" w:themeTint="80"/>
        </w:rPr>
        <w:t>Ahkamul Fuqaha: Solusi Problematika Aktual Umat Islam (Keputusan Muktamar, Munas, dan Konbes Nahdlatul Ulama 1926-2010)</w:t>
      </w:r>
      <w:r w:rsidRPr="007C2769">
        <w:rPr>
          <w:color w:val="7F7F7F" w:themeColor="text1" w:themeTint="80"/>
        </w:rPr>
        <w:t xml:space="preserve">, ctk. I (Surabaya: Khalista, 2011), hlm. 470-471. Sekalipun Muktamar NU tahun 2015 menghasilkan rumusan tiga metode lainnya, yaitu </w:t>
      </w:r>
      <w:r w:rsidRPr="007C2769">
        <w:rPr>
          <w:i/>
          <w:iCs/>
          <w:color w:val="7F7F7F" w:themeColor="text1" w:themeTint="80"/>
        </w:rPr>
        <w:t>bayānī</w:t>
      </w:r>
      <w:r w:rsidRPr="007C2769">
        <w:rPr>
          <w:color w:val="7F7F7F" w:themeColor="text1" w:themeTint="80"/>
        </w:rPr>
        <w:t xml:space="preserve">, </w:t>
      </w:r>
      <w:r w:rsidRPr="007C2769">
        <w:rPr>
          <w:i/>
          <w:iCs/>
          <w:color w:val="7F7F7F" w:themeColor="text1" w:themeTint="80"/>
        </w:rPr>
        <w:t>qiyāsī</w:t>
      </w:r>
      <w:r w:rsidRPr="007C2769">
        <w:rPr>
          <w:color w:val="7F7F7F" w:themeColor="text1" w:themeTint="80"/>
        </w:rPr>
        <w:t xml:space="preserve">, dan </w:t>
      </w:r>
      <w:r w:rsidRPr="007C2769">
        <w:rPr>
          <w:i/>
          <w:iCs/>
          <w:color w:val="7F7F7F" w:themeColor="text1" w:themeTint="80"/>
        </w:rPr>
        <w:t>maqāshidī</w:t>
      </w:r>
      <w:r w:rsidRPr="007C2769">
        <w:rPr>
          <w:color w:val="7F7F7F" w:themeColor="text1" w:themeTint="80"/>
        </w:rPr>
        <w:t xml:space="preserve">, namun rumusan ini pada prinsipnya merupakan pengembangan dari metode </w:t>
      </w:r>
      <w:r w:rsidRPr="007C2769">
        <w:rPr>
          <w:i/>
          <w:iCs/>
          <w:color w:val="7F7F7F" w:themeColor="text1" w:themeTint="80"/>
        </w:rPr>
        <w:t>manhajī</w:t>
      </w:r>
      <w:r w:rsidRPr="007C2769">
        <w:rPr>
          <w:color w:val="7F7F7F" w:themeColor="text1" w:themeTint="80"/>
        </w:rPr>
        <w:t xml:space="preserve"> rumusan Munas tahun 1992. Lihat: idem, </w:t>
      </w:r>
      <w:r w:rsidRPr="007C2769">
        <w:rPr>
          <w:i/>
          <w:iCs/>
          <w:color w:val="7F7F7F" w:themeColor="text1" w:themeTint="80"/>
        </w:rPr>
        <w:t>Hasil-hasil Muktamar ke-33 Nahdlatul Ulama</w:t>
      </w:r>
      <w:r w:rsidRPr="007C2769">
        <w:rPr>
          <w:color w:val="7F7F7F" w:themeColor="text1" w:themeTint="80"/>
        </w:rPr>
        <w:t>, ctk. II (Jakarta: LTN-PBNU, 2016), hlm. 153-172.</w:t>
      </w:r>
    </w:p>
  </w:footnote>
  <w:footnote w:id="3">
    <w:p w14:paraId="50E95755" w14:textId="77777777" w:rsidR="00C613CC" w:rsidRPr="007C2769" w:rsidRDefault="00C613CC" w:rsidP="007C2769">
      <w:pPr>
        <w:pStyle w:val="FootnoteText"/>
        <w:ind w:firstLine="567"/>
        <w:jc w:val="both"/>
        <w:rPr>
          <w:color w:val="7F7F7F" w:themeColor="text1" w:themeTint="80"/>
        </w:rPr>
      </w:pPr>
      <w:r w:rsidRPr="007C2769">
        <w:rPr>
          <w:rStyle w:val="FootnoteReference"/>
          <w:color w:val="7F7F7F" w:themeColor="text1" w:themeTint="80"/>
        </w:rPr>
        <w:footnoteRef/>
      </w:r>
      <w:r w:rsidRPr="007C2769">
        <w:rPr>
          <w:color w:val="7F7F7F" w:themeColor="text1" w:themeTint="80"/>
        </w:rPr>
        <w:t xml:space="preserve"> Radino, “Metode Ijtihad Nahdlatul Ulama: Kajian terhadap Keputusan Bahtsul Masail NU Pusat pada Masalah-masalah Fiqih Kontemporer”, </w:t>
      </w:r>
      <w:r w:rsidRPr="007C2769">
        <w:rPr>
          <w:i/>
          <w:iCs/>
          <w:color w:val="7F7F7F" w:themeColor="text1" w:themeTint="80"/>
        </w:rPr>
        <w:t>tesis</w:t>
      </w:r>
      <w:r w:rsidRPr="007C2769">
        <w:rPr>
          <w:color w:val="7F7F7F" w:themeColor="text1" w:themeTint="80"/>
        </w:rPr>
        <w:t xml:space="preserve"> (Banda Aceh: IAIN Ar-Raniri, 1997).</w:t>
      </w:r>
    </w:p>
  </w:footnote>
  <w:footnote w:id="4">
    <w:p w14:paraId="22C844FA" w14:textId="77777777" w:rsidR="00C613CC" w:rsidRPr="007C2769" w:rsidRDefault="00C613CC" w:rsidP="007C2769">
      <w:pPr>
        <w:pStyle w:val="FootnoteText"/>
        <w:ind w:firstLine="567"/>
        <w:jc w:val="both"/>
        <w:rPr>
          <w:rFonts w:cstheme="minorHAnsi"/>
          <w:color w:val="7F7F7F" w:themeColor="text1" w:themeTint="80"/>
        </w:rPr>
      </w:pPr>
      <w:r w:rsidRPr="007C2769">
        <w:rPr>
          <w:rStyle w:val="FootnoteReference"/>
          <w:rFonts w:cstheme="minorHAnsi"/>
          <w:color w:val="7F7F7F" w:themeColor="text1" w:themeTint="80"/>
        </w:rPr>
        <w:footnoteRef/>
      </w:r>
      <w:r w:rsidRPr="007C2769">
        <w:rPr>
          <w:rFonts w:cstheme="minorHAnsi"/>
          <w:color w:val="7F7F7F" w:themeColor="text1" w:themeTint="80"/>
        </w:rPr>
        <w:t xml:space="preserve"> Imam Yahya, “Bahtsul Masail NU dan Transformasi Sosial: Telaah Istinbath Hukum Pasca Munas Bandar Lampung 1992”, </w:t>
      </w:r>
      <w:r w:rsidRPr="007C2769">
        <w:rPr>
          <w:rFonts w:cstheme="minorHAnsi"/>
          <w:i/>
          <w:iCs/>
          <w:color w:val="7F7F7F" w:themeColor="text1" w:themeTint="80"/>
        </w:rPr>
        <w:t>tesis</w:t>
      </w:r>
      <w:r w:rsidRPr="007C2769">
        <w:rPr>
          <w:rFonts w:cstheme="minorHAnsi"/>
          <w:color w:val="7F7F7F" w:themeColor="text1" w:themeTint="80"/>
        </w:rPr>
        <w:t xml:space="preserve"> (Jakarta: IAIN Syarif Hidayatullah, 1998).</w:t>
      </w:r>
    </w:p>
  </w:footnote>
  <w:footnote w:id="5">
    <w:p w14:paraId="780AF047" w14:textId="77777777" w:rsidR="00C613CC" w:rsidRPr="007C2769" w:rsidRDefault="00C613CC" w:rsidP="007C2769">
      <w:pPr>
        <w:pStyle w:val="FootnoteText"/>
        <w:ind w:firstLine="567"/>
        <w:jc w:val="both"/>
        <w:rPr>
          <w:color w:val="7F7F7F" w:themeColor="text1" w:themeTint="80"/>
        </w:rPr>
      </w:pPr>
      <w:r w:rsidRPr="007C2769">
        <w:rPr>
          <w:rStyle w:val="FootnoteReference"/>
          <w:color w:val="7F7F7F" w:themeColor="text1" w:themeTint="80"/>
        </w:rPr>
        <w:footnoteRef/>
      </w:r>
      <w:r w:rsidRPr="007C2769">
        <w:rPr>
          <w:color w:val="7F7F7F" w:themeColor="text1" w:themeTint="80"/>
        </w:rPr>
        <w:t xml:space="preserve"> Abd. Basid, “Bahtsul al-Masa'il dan Wacana Pemikiran Fiqh: Sebuah Studi Perkembangan Pemikiran Hukum Islam Nahdlatul Ulama Tahun 1985-1995”, </w:t>
      </w:r>
      <w:r w:rsidRPr="007C2769">
        <w:rPr>
          <w:i/>
          <w:iCs/>
          <w:color w:val="7F7F7F" w:themeColor="text1" w:themeTint="80"/>
        </w:rPr>
        <w:t>tesis</w:t>
      </w:r>
      <w:r w:rsidRPr="007C2769">
        <w:rPr>
          <w:color w:val="7F7F7F" w:themeColor="text1" w:themeTint="80"/>
        </w:rPr>
        <w:t xml:space="preserve"> (Surabaya: IAIN Sunan Ampel, 1999).</w:t>
      </w:r>
    </w:p>
  </w:footnote>
  <w:footnote w:id="6">
    <w:p w14:paraId="56B0BC3E" w14:textId="77777777" w:rsidR="00C613CC" w:rsidRPr="007C2769" w:rsidRDefault="00C613CC" w:rsidP="007C2769">
      <w:pPr>
        <w:pStyle w:val="FootnoteText"/>
        <w:ind w:firstLine="567"/>
        <w:jc w:val="both"/>
        <w:rPr>
          <w:rStyle w:val="FootnoteReference"/>
          <w:rFonts w:cstheme="minorHAnsi"/>
          <w:i/>
          <w:iCs/>
          <w:color w:val="7F7F7F" w:themeColor="text1" w:themeTint="80"/>
        </w:rPr>
      </w:pPr>
      <w:r w:rsidRPr="007C2769">
        <w:rPr>
          <w:rStyle w:val="FootnoteReference"/>
          <w:rFonts w:cstheme="minorHAnsi"/>
          <w:color w:val="7F7F7F" w:themeColor="text1" w:themeTint="80"/>
        </w:rPr>
        <w:footnoteRef/>
      </w:r>
      <w:r w:rsidRPr="007C2769">
        <w:rPr>
          <w:rStyle w:val="FootnoteReference"/>
          <w:rFonts w:cstheme="minorHAnsi"/>
          <w:color w:val="7F7F7F" w:themeColor="text1" w:themeTint="80"/>
        </w:rPr>
        <w:t xml:space="preserve"> </w:t>
      </w:r>
      <w:r w:rsidRPr="007C2769">
        <w:rPr>
          <w:rFonts w:cstheme="minorHAnsi"/>
          <w:color w:val="7F7F7F" w:themeColor="text1" w:themeTint="80"/>
        </w:rPr>
        <w:t xml:space="preserve">Ahmad Zahro, “Lajnah Bahtsul Masail Nahdlatul Ulama 1926-1999: Telaah Kritis terhadap Keputusan Hukum Fiqih”, </w:t>
      </w:r>
      <w:r w:rsidRPr="007C2769">
        <w:rPr>
          <w:rFonts w:cstheme="minorHAnsi"/>
          <w:i/>
          <w:iCs/>
          <w:color w:val="7F7F7F" w:themeColor="text1" w:themeTint="80"/>
        </w:rPr>
        <w:t>disertasi</w:t>
      </w:r>
      <w:r w:rsidRPr="007C2769">
        <w:rPr>
          <w:rFonts w:cstheme="minorHAnsi"/>
          <w:color w:val="7F7F7F" w:themeColor="text1" w:themeTint="80"/>
        </w:rPr>
        <w:t xml:space="preserve"> (Yogyakarta: IAIN Sunan Kalijaga, 2001).</w:t>
      </w:r>
    </w:p>
  </w:footnote>
  <w:footnote w:id="7">
    <w:p w14:paraId="55327874" w14:textId="77777777" w:rsidR="00C613CC" w:rsidRPr="007C2769" w:rsidRDefault="00C613CC" w:rsidP="007C2769">
      <w:pPr>
        <w:pStyle w:val="FootnoteText"/>
        <w:ind w:firstLine="567"/>
        <w:jc w:val="both"/>
        <w:rPr>
          <w:color w:val="7F7F7F" w:themeColor="text1" w:themeTint="80"/>
        </w:rPr>
      </w:pPr>
      <w:r w:rsidRPr="007C2769">
        <w:rPr>
          <w:rStyle w:val="FootnoteReference"/>
          <w:color w:val="7F7F7F" w:themeColor="text1" w:themeTint="80"/>
        </w:rPr>
        <w:footnoteRef/>
      </w:r>
      <w:r w:rsidRPr="007C2769">
        <w:rPr>
          <w:color w:val="7F7F7F" w:themeColor="text1" w:themeTint="80"/>
        </w:rPr>
        <w:t xml:space="preserve"> Achmad Kemal Riza, “Continuity and Change in Islamic Law in Indonesia: The Case of Nahdlatul Ulama Bahtsul Masail in East Java”, </w:t>
      </w:r>
      <w:r w:rsidRPr="007C2769">
        <w:rPr>
          <w:i/>
          <w:iCs/>
          <w:color w:val="7F7F7F" w:themeColor="text1" w:themeTint="80"/>
        </w:rPr>
        <w:t>tesis</w:t>
      </w:r>
      <w:r w:rsidRPr="007C2769">
        <w:rPr>
          <w:color w:val="7F7F7F" w:themeColor="text1" w:themeTint="80"/>
        </w:rPr>
        <w:t xml:space="preserve"> (Australia: The Australian National University, 2004).</w:t>
      </w:r>
    </w:p>
  </w:footnote>
  <w:footnote w:id="8">
    <w:p w14:paraId="0C43E37E" w14:textId="77777777" w:rsidR="00C613CC" w:rsidRPr="007C2769" w:rsidRDefault="00C613CC" w:rsidP="007C2769">
      <w:pPr>
        <w:pStyle w:val="FootnoteText"/>
        <w:ind w:firstLine="567"/>
        <w:jc w:val="both"/>
        <w:rPr>
          <w:color w:val="7F7F7F" w:themeColor="text1" w:themeTint="80"/>
          <w:lang w:val="en-ID"/>
        </w:rPr>
      </w:pPr>
      <w:r w:rsidRPr="007C2769">
        <w:rPr>
          <w:rStyle w:val="FootnoteReference"/>
          <w:color w:val="7F7F7F" w:themeColor="text1" w:themeTint="80"/>
        </w:rPr>
        <w:footnoteRef/>
      </w:r>
      <w:r w:rsidRPr="007C2769">
        <w:rPr>
          <w:color w:val="7F7F7F" w:themeColor="text1" w:themeTint="80"/>
        </w:rPr>
        <w:t xml:space="preserve"> Kholisin, “Bahtsul Masail: Representasi Budaya Pesantren dalam Tuturan Masyarakat Santri”, </w:t>
      </w:r>
      <w:r w:rsidRPr="007C2769">
        <w:rPr>
          <w:i/>
          <w:iCs/>
          <w:color w:val="7F7F7F" w:themeColor="text1" w:themeTint="80"/>
        </w:rPr>
        <w:t>disertasi</w:t>
      </w:r>
      <w:r w:rsidRPr="007C2769">
        <w:rPr>
          <w:color w:val="7F7F7F" w:themeColor="text1" w:themeTint="80"/>
        </w:rPr>
        <w:t xml:space="preserve"> (Malang: Universitas Negeri Malang, 2010).</w:t>
      </w:r>
    </w:p>
  </w:footnote>
  <w:footnote w:id="9">
    <w:p w14:paraId="237B1B16" w14:textId="77777777" w:rsidR="00C613CC" w:rsidRPr="007C2769" w:rsidRDefault="00C613CC" w:rsidP="007C2769">
      <w:pPr>
        <w:pStyle w:val="FootnoteText"/>
        <w:ind w:firstLine="567"/>
        <w:jc w:val="both"/>
        <w:rPr>
          <w:rStyle w:val="FootnoteReference"/>
          <w:rFonts w:cstheme="minorHAnsi"/>
          <w:color w:val="7F7F7F" w:themeColor="text1" w:themeTint="80"/>
        </w:rPr>
      </w:pPr>
      <w:r w:rsidRPr="007C2769">
        <w:rPr>
          <w:rStyle w:val="FootnoteReference"/>
          <w:rFonts w:cstheme="minorHAnsi"/>
          <w:color w:val="7F7F7F" w:themeColor="text1" w:themeTint="80"/>
        </w:rPr>
        <w:footnoteRef/>
      </w:r>
      <w:r w:rsidRPr="007C2769">
        <w:rPr>
          <w:rStyle w:val="FootnoteReference"/>
          <w:rFonts w:cstheme="minorHAnsi"/>
          <w:color w:val="7F7F7F" w:themeColor="text1" w:themeTint="80"/>
        </w:rPr>
        <w:t xml:space="preserve"> </w:t>
      </w:r>
      <w:r w:rsidRPr="007C2769">
        <w:rPr>
          <w:rFonts w:cstheme="minorHAnsi"/>
          <w:color w:val="7F7F7F" w:themeColor="text1" w:themeTint="80"/>
        </w:rPr>
        <w:t>Ahmad Muhtadi Anshor, “</w:t>
      </w:r>
      <w:r w:rsidRPr="007C2769">
        <w:rPr>
          <w:i/>
          <w:iCs/>
          <w:color w:val="7F7F7F" w:themeColor="text1" w:themeTint="80"/>
          <w:szCs w:val="24"/>
        </w:rPr>
        <w:t xml:space="preserve">Baḥth </w:t>
      </w:r>
      <w:r w:rsidRPr="007C2769">
        <w:rPr>
          <w:rFonts w:cstheme="minorHAnsi"/>
          <w:i/>
          <w:iCs/>
          <w:color w:val="7F7F7F" w:themeColor="text1" w:themeTint="80"/>
        </w:rPr>
        <w:t>al-Masā’il</w:t>
      </w:r>
      <w:r w:rsidRPr="007C2769">
        <w:rPr>
          <w:rFonts w:cstheme="minorHAnsi"/>
          <w:color w:val="7F7F7F" w:themeColor="text1" w:themeTint="80"/>
        </w:rPr>
        <w:t xml:space="preserve"> Pengurus Wilayah Nahdlatul Ulama (PWNU) Jawa Timur: Studi tentang Dinamika Bermadhhab”, </w:t>
      </w:r>
      <w:r w:rsidRPr="007C2769">
        <w:rPr>
          <w:rFonts w:cstheme="minorHAnsi"/>
          <w:i/>
          <w:iCs/>
          <w:color w:val="7F7F7F" w:themeColor="text1" w:themeTint="80"/>
        </w:rPr>
        <w:t>disertasi</w:t>
      </w:r>
      <w:r w:rsidRPr="007C2769">
        <w:rPr>
          <w:rFonts w:cstheme="minorHAnsi"/>
          <w:color w:val="7F7F7F" w:themeColor="text1" w:themeTint="80"/>
        </w:rPr>
        <w:t xml:space="preserve"> (Surabaya: IAIN Sunan Ampel, 2011).</w:t>
      </w:r>
    </w:p>
  </w:footnote>
  <w:footnote w:id="10">
    <w:p w14:paraId="44CAEB51" w14:textId="77777777" w:rsidR="00C613CC" w:rsidRPr="007C2769" w:rsidRDefault="00C613CC" w:rsidP="007C2769">
      <w:pPr>
        <w:spacing w:after="0"/>
        <w:ind w:firstLine="567"/>
        <w:jc w:val="both"/>
        <w:rPr>
          <w:rStyle w:val="FootnoteReference"/>
          <w:rFonts w:cstheme="minorHAnsi"/>
          <w:color w:val="7F7F7F" w:themeColor="text1" w:themeTint="80"/>
          <w:sz w:val="20"/>
          <w:szCs w:val="20"/>
        </w:rPr>
      </w:pPr>
      <w:r w:rsidRPr="007C2769">
        <w:rPr>
          <w:rStyle w:val="FootnoteReference"/>
          <w:rFonts w:cstheme="minorHAnsi"/>
          <w:color w:val="7F7F7F" w:themeColor="text1" w:themeTint="80"/>
          <w:sz w:val="20"/>
          <w:szCs w:val="20"/>
        </w:rPr>
        <w:footnoteRef/>
      </w:r>
      <w:r w:rsidRPr="007C2769">
        <w:rPr>
          <w:rStyle w:val="FootnoteReference"/>
          <w:rFonts w:cstheme="minorHAnsi"/>
          <w:color w:val="7F7F7F" w:themeColor="text1" w:themeTint="80"/>
          <w:sz w:val="20"/>
          <w:szCs w:val="20"/>
        </w:rPr>
        <w:t xml:space="preserve"> </w:t>
      </w:r>
      <w:r w:rsidRPr="007C2769">
        <w:rPr>
          <w:rFonts w:cstheme="minorHAnsi"/>
          <w:color w:val="7F7F7F" w:themeColor="text1" w:themeTint="80"/>
          <w:sz w:val="20"/>
          <w:szCs w:val="20"/>
        </w:rPr>
        <w:t xml:space="preserve">Mahsun, </w:t>
      </w:r>
      <w:r w:rsidRPr="007C2769">
        <w:rPr>
          <w:rFonts w:cstheme="minorHAnsi"/>
          <w:i/>
          <w:iCs/>
          <w:color w:val="7F7F7F" w:themeColor="text1" w:themeTint="80"/>
          <w:sz w:val="20"/>
          <w:szCs w:val="20"/>
        </w:rPr>
        <w:t>Mazhab NU Mazhab Kritis: Bermazhab secara Manhajiy dan Implementasinya dalam Bahtsul Masail Nahdlatul Ulama</w:t>
      </w:r>
      <w:r w:rsidRPr="007C2769">
        <w:rPr>
          <w:rFonts w:cstheme="minorHAnsi"/>
          <w:color w:val="7F7F7F" w:themeColor="text1" w:themeTint="80"/>
          <w:sz w:val="20"/>
          <w:szCs w:val="20"/>
        </w:rPr>
        <w:t>, ctk. I (Depok: Nadi Pustaka, 2015).</w:t>
      </w:r>
    </w:p>
  </w:footnote>
  <w:footnote w:id="11">
    <w:p w14:paraId="37B2517A" w14:textId="77777777" w:rsidR="00C613CC" w:rsidRPr="007C2769" w:rsidRDefault="00C613CC" w:rsidP="007C2769">
      <w:pPr>
        <w:pStyle w:val="FootnoteText"/>
        <w:ind w:firstLine="567"/>
        <w:jc w:val="both"/>
        <w:rPr>
          <w:color w:val="7F7F7F" w:themeColor="text1" w:themeTint="80"/>
        </w:rPr>
      </w:pPr>
      <w:r w:rsidRPr="007C2769">
        <w:rPr>
          <w:rStyle w:val="FootnoteReference"/>
          <w:color w:val="7F7F7F" w:themeColor="text1" w:themeTint="80"/>
        </w:rPr>
        <w:footnoteRef/>
      </w:r>
      <w:r w:rsidRPr="007C2769">
        <w:rPr>
          <w:color w:val="7F7F7F" w:themeColor="text1" w:themeTint="80"/>
        </w:rPr>
        <w:t xml:space="preserve"> M. Afif Yuniarto, “Metode Mazhab </w:t>
      </w:r>
      <w:r w:rsidRPr="007C2769">
        <w:rPr>
          <w:i/>
          <w:iCs/>
          <w:color w:val="7F7F7F" w:themeColor="text1" w:themeTint="80"/>
        </w:rPr>
        <w:t>Manhajī</w:t>
      </w:r>
      <w:r w:rsidRPr="007C2769">
        <w:rPr>
          <w:color w:val="7F7F7F" w:themeColor="text1" w:themeTint="80"/>
        </w:rPr>
        <w:t xml:space="preserve"> Nahdlatul Ulama: Studi Pandangan Aktivis Bahtsul Masail Jawa Timur tentang Metode </w:t>
      </w:r>
      <w:r w:rsidRPr="007C2769">
        <w:rPr>
          <w:i/>
          <w:iCs/>
          <w:color w:val="7F7F7F" w:themeColor="text1" w:themeTint="80"/>
        </w:rPr>
        <w:t xml:space="preserve">Istinbāt al-Aḥkām </w:t>
      </w:r>
      <w:r w:rsidRPr="007C2769">
        <w:rPr>
          <w:color w:val="7F7F7F" w:themeColor="text1" w:themeTint="80"/>
        </w:rPr>
        <w:t xml:space="preserve">Hasil Muktamar ke-33”, </w:t>
      </w:r>
      <w:r w:rsidRPr="007C2769">
        <w:rPr>
          <w:i/>
          <w:iCs/>
          <w:color w:val="7F7F7F" w:themeColor="text1" w:themeTint="80"/>
        </w:rPr>
        <w:t>tesis</w:t>
      </w:r>
      <w:r w:rsidRPr="007C2769">
        <w:rPr>
          <w:color w:val="7F7F7F" w:themeColor="text1" w:themeTint="80"/>
        </w:rPr>
        <w:t xml:space="preserve"> (Surabaya: UIN Sunan Ampel, 2017).</w:t>
      </w:r>
    </w:p>
  </w:footnote>
  <w:footnote w:id="12">
    <w:p w14:paraId="4EEC80FF" w14:textId="77777777" w:rsidR="00C613CC" w:rsidRPr="007C2769" w:rsidRDefault="00C613CC" w:rsidP="007C2769">
      <w:pPr>
        <w:pStyle w:val="FootnoteText"/>
        <w:ind w:firstLine="567"/>
        <w:jc w:val="both"/>
        <w:rPr>
          <w:color w:val="7F7F7F" w:themeColor="text1" w:themeTint="80"/>
        </w:rPr>
      </w:pPr>
      <w:r w:rsidRPr="007C2769">
        <w:rPr>
          <w:rStyle w:val="FootnoteReference"/>
          <w:color w:val="7F7F7F" w:themeColor="text1" w:themeTint="80"/>
        </w:rPr>
        <w:footnoteRef/>
      </w:r>
      <w:r w:rsidRPr="007C2769">
        <w:rPr>
          <w:color w:val="7F7F7F" w:themeColor="text1" w:themeTint="80"/>
        </w:rPr>
        <w:t xml:space="preserve"> Abdul Wahab, “Metode Istinbat LBM PWNU Jawa Timur atas Masa’il Qanuniyyah”, </w:t>
      </w:r>
      <w:r w:rsidRPr="007C2769">
        <w:rPr>
          <w:i/>
          <w:iCs/>
          <w:color w:val="7F7F7F" w:themeColor="text1" w:themeTint="80"/>
        </w:rPr>
        <w:t>disertasi</w:t>
      </w:r>
      <w:r w:rsidRPr="007C2769">
        <w:rPr>
          <w:color w:val="7F7F7F" w:themeColor="text1" w:themeTint="80"/>
        </w:rPr>
        <w:t xml:space="preserve"> (Yogyakarta: UIN Sunan Kalijaga, 2020).</w:t>
      </w:r>
    </w:p>
  </w:footnote>
  <w:footnote w:id="13">
    <w:p w14:paraId="621DA202" w14:textId="77777777" w:rsidR="00C613CC" w:rsidRPr="007C2769" w:rsidRDefault="00C613CC" w:rsidP="007C2769">
      <w:pPr>
        <w:pStyle w:val="FootnoteText"/>
        <w:ind w:firstLine="567"/>
        <w:jc w:val="both"/>
        <w:rPr>
          <w:color w:val="7F7F7F" w:themeColor="text1" w:themeTint="80"/>
        </w:rPr>
      </w:pPr>
      <w:r w:rsidRPr="007C2769">
        <w:rPr>
          <w:rStyle w:val="FootnoteReference"/>
          <w:color w:val="7F7F7F" w:themeColor="text1" w:themeTint="80"/>
        </w:rPr>
        <w:footnoteRef/>
      </w:r>
      <w:r w:rsidRPr="007C2769">
        <w:rPr>
          <w:color w:val="7F7F7F" w:themeColor="text1" w:themeTint="80"/>
        </w:rPr>
        <w:t xml:space="preserve"> Zahro, “Lajnah.”, hlm. 169-170; Mahsun, </w:t>
      </w:r>
      <w:r w:rsidRPr="007C2769">
        <w:rPr>
          <w:i/>
          <w:iCs/>
          <w:color w:val="7F7F7F" w:themeColor="text1" w:themeTint="80"/>
        </w:rPr>
        <w:t>Mazhab</w:t>
      </w:r>
      <w:r w:rsidRPr="007C2769">
        <w:rPr>
          <w:color w:val="7F7F7F" w:themeColor="text1" w:themeTint="80"/>
        </w:rPr>
        <w:t xml:space="preserve">., hlm. 177; </w:t>
      </w:r>
      <w:r w:rsidRPr="007C2769">
        <w:rPr>
          <w:color w:val="7F7F7F" w:themeColor="text1" w:themeTint="80"/>
          <w:szCs w:val="24"/>
        </w:rPr>
        <w:t xml:space="preserve">Anshor, </w:t>
      </w:r>
      <w:r w:rsidRPr="007C2769">
        <w:rPr>
          <w:i/>
          <w:iCs/>
          <w:color w:val="7F7F7F" w:themeColor="text1" w:themeTint="80"/>
          <w:szCs w:val="24"/>
        </w:rPr>
        <w:t>Baḥth</w:t>
      </w:r>
      <w:r w:rsidRPr="007C2769">
        <w:rPr>
          <w:color w:val="7F7F7F" w:themeColor="text1" w:themeTint="80"/>
          <w:szCs w:val="24"/>
        </w:rPr>
        <w:t>., hlm. 133</w:t>
      </w:r>
      <w:r w:rsidRPr="007C2769">
        <w:rPr>
          <w:color w:val="7F7F7F" w:themeColor="text1" w:themeTint="80"/>
        </w:rPr>
        <w:t>.</w:t>
      </w:r>
    </w:p>
  </w:footnote>
  <w:footnote w:id="14">
    <w:p w14:paraId="17AEE516" w14:textId="77777777" w:rsidR="00C613CC" w:rsidRPr="007C2769" w:rsidRDefault="00C613CC" w:rsidP="007C2769">
      <w:pPr>
        <w:pStyle w:val="FootnoteText"/>
        <w:ind w:firstLine="567"/>
        <w:jc w:val="both"/>
        <w:rPr>
          <w:color w:val="7F7F7F" w:themeColor="text1" w:themeTint="80"/>
        </w:rPr>
      </w:pPr>
      <w:r w:rsidRPr="007C2769">
        <w:rPr>
          <w:rStyle w:val="FootnoteReference"/>
          <w:color w:val="7F7F7F" w:themeColor="text1" w:themeTint="80"/>
        </w:rPr>
        <w:footnoteRef/>
      </w:r>
      <w:r w:rsidRPr="007C2769">
        <w:rPr>
          <w:color w:val="7F7F7F" w:themeColor="text1" w:themeTint="80"/>
        </w:rPr>
        <w:t xml:space="preserve"> Marilyin D. White dan Emily E. Marsh, “Content Analysis: A Flexible Methodology”, </w:t>
      </w:r>
      <w:r w:rsidRPr="007C2769">
        <w:rPr>
          <w:i/>
          <w:iCs/>
          <w:color w:val="7F7F7F" w:themeColor="text1" w:themeTint="80"/>
        </w:rPr>
        <w:t>Library Trends</w:t>
      </w:r>
      <w:r w:rsidRPr="007C2769">
        <w:rPr>
          <w:color w:val="7F7F7F" w:themeColor="text1" w:themeTint="80"/>
        </w:rPr>
        <w:t>, Vol. 55, No. 1 (Juni-Agustus, 2006), hlm. 27.</w:t>
      </w:r>
    </w:p>
  </w:footnote>
  <w:footnote w:id="15">
    <w:p w14:paraId="7514F44A" w14:textId="77777777" w:rsidR="00C613CC" w:rsidRPr="007C2769" w:rsidRDefault="00C613CC" w:rsidP="007C2769">
      <w:pPr>
        <w:pStyle w:val="FootnoteText"/>
        <w:ind w:firstLine="567"/>
        <w:jc w:val="both"/>
        <w:rPr>
          <w:color w:val="7F7F7F" w:themeColor="text1" w:themeTint="80"/>
        </w:rPr>
      </w:pPr>
      <w:r w:rsidRPr="007C2769">
        <w:rPr>
          <w:rStyle w:val="FootnoteReference"/>
          <w:color w:val="7F7F7F" w:themeColor="text1" w:themeTint="80"/>
        </w:rPr>
        <w:footnoteRef/>
      </w:r>
      <w:r w:rsidRPr="007C2769">
        <w:rPr>
          <w:color w:val="7F7F7F" w:themeColor="text1" w:themeTint="80"/>
        </w:rPr>
        <w:t xml:space="preserve"> Matthew B. Miles dan Alan M. Huberman, </w:t>
      </w:r>
      <w:r w:rsidRPr="007C2769">
        <w:rPr>
          <w:i/>
          <w:iCs/>
          <w:color w:val="7F7F7F" w:themeColor="text1" w:themeTint="80"/>
        </w:rPr>
        <w:t>Qualitative Data Analysis: an Expanded Sourcebook</w:t>
      </w:r>
      <w:r w:rsidRPr="007C2769">
        <w:rPr>
          <w:color w:val="7F7F7F" w:themeColor="text1" w:themeTint="80"/>
        </w:rPr>
        <w:t>, ctk. II (California: Sage Publications Inc., 1994), hlm. 10-12.</w:t>
      </w:r>
    </w:p>
  </w:footnote>
  <w:footnote w:id="16">
    <w:p w14:paraId="4F5203BA" w14:textId="77777777" w:rsidR="00C613CC" w:rsidRPr="007C2769" w:rsidRDefault="00C613CC" w:rsidP="007C2769">
      <w:pPr>
        <w:pStyle w:val="FootnoteText"/>
        <w:ind w:firstLine="567"/>
        <w:jc w:val="both"/>
        <w:rPr>
          <w:color w:val="7F7F7F" w:themeColor="text1" w:themeTint="80"/>
        </w:rPr>
      </w:pPr>
      <w:r w:rsidRPr="007C2769">
        <w:rPr>
          <w:rStyle w:val="FootnoteReference"/>
          <w:color w:val="7F7F7F" w:themeColor="text1" w:themeTint="80"/>
        </w:rPr>
        <w:footnoteRef/>
      </w:r>
      <w:r w:rsidRPr="007C2769">
        <w:rPr>
          <w:color w:val="7F7F7F" w:themeColor="text1" w:themeTint="80"/>
        </w:rPr>
        <w:t xml:space="preserve"> Muhammad Adib dan Muhammad Hasbullah Huda, “Fleksibilitas Kognitif dalam </w:t>
      </w:r>
      <w:r w:rsidRPr="007C2769">
        <w:rPr>
          <w:i/>
          <w:iCs/>
          <w:color w:val="7F7F7F" w:themeColor="text1" w:themeTint="80"/>
        </w:rPr>
        <w:t>Bahts al-Masāil</w:t>
      </w:r>
      <w:r w:rsidRPr="007C2769">
        <w:rPr>
          <w:color w:val="7F7F7F" w:themeColor="text1" w:themeTint="80"/>
        </w:rPr>
        <w:t xml:space="preserve"> Nahdlatul Ulama”, </w:t>
      </w:r>
      <w:r w:rsidRPr="007C2769">
        <w:rPr>
          <w:i/>
          <w:iCs/>
          <w:color w:val="7F7F7F" w:themeColor="text1" w:themeTint="80"/>
        </w:rPr>
        <w:t>Jurnal Penelitian Ilmiah Intaj</w:t>
      </w:r>
      <w:r w:rsidRPr="007C2769">
        <w:rPr>
          <w:color w:val="7F7F7F" w:themeColor="text1" w:themeTint="80"/>
        </w:rPr>
        <w:t>, Vol. 04, No. 02 (Oktober 2020), hlm. 78-79.</w:t>
      </w:r>
    </w:p>
  </w:footnote>
  <w:footnote w:id="17">
    <w:p w14:paraId="1865E47E" w14:textId="77777777" w:rsidR="00C613CC" w:rsidRPr="007C2769" w:rsidRDefault="00C613CC" w:rsidP="007C2769">
      <w:pPr>
        <w:pStyle w:val="FootnoteText"/>
        <w:ind w:firstLine="567"/>
        <w:jc w:val="both"/>
        <w:rPr>
          <w:rStyle w:val="FootnoteReference"/>
          <w:color w:val="7F7F7F" w:themeColor="text1" w:themeTint="80"/>
        </w:rPr>
      </w:pPr>
      <w:r w:rsidRPr="007C2769">
        <w:rPr>
          <w:rStyle w:val="FootnoteReference"/>
          <w:color w:val="7F7F7F" w:themeColor="text1" w:themeTint="80"/>
        </w:rPr>
        <w:footnoteRef/>
      </w:r>
      <w:r w:rsidRPr="007C2769">
        <w:rPr>
          <w:rStyle w:val="FootnoteReference"/>
          <w:color w:val="7F7F7F" w:themeColor="text1" w:themeTint="80"/>
        </w:rPr>
        <w:t xml:space="preserve"> </w:t>
      </w:r>
      <w:r w:rsidRPr="007C2769">
        <w:rPr>
          <w:color w:val="7F7F7F" w:themeColor="text1" w:themeTint="80"/>
        </w:rPr>
        <w:t xml:space="preserve">‘Alī Harb, </w:t>
      </w:r>
      <w:r w:rsidRPr="007C2769">
        <w:rPr>
          <w:i/>
          <w:iCs/>
          <w:color w:val="7F7F7F" w:themeColor="text1" w:themeTint="80"/>
        </w:rPr>
        <w:t>Naqd al-Haqīqah</w:t>
      </w:r>
      <w:r w:rsidRPr="007C2769">
        <w:rPr>
          <w:color w:val="7F7F7F" w:themeColor="text1" w:themeTint="80"/>
        </w:rPr>
        <w:t>, ctk. I (Beirut: al-Markaz al-Tsaqāfī al-‘Arabī, 1993), hlm. 5-28. Dalam hal ini, ‘Alī Harb mengkritik model pembacaan literalistik (</w:t>
      </w:r>
      <w:r w:rsidRPr="007C2769">
        <w:rPr>
          <w:i/>
          <w:iCs/>
          <w:color w:val="7F7F7F" w:themeColor="text1" w:themeTint="80"/>
        </w:rPr>
        <w:t>qirā’ah harfiyyah</w:t>
      </w:r>
      <w:r w:rsidRPr="007C2769">
        <w:rPr>
          <w:color w:val="7F7F7F" w:themeColor="text1" w:themeTint="80"/>
        </w:rPr>
        <w:t>) yang terlaku terpaku pada apa yang tertulis dari teks serta model pembacaan metaforis sufistik (</w:t>
      </w:r>
      <w:r w:rsidRPr="007C2769">
        <w:rPr>
          <w:i/>
          <w:iCs/>
          <w:color w:val="7F7F7F" w:themeColor="text1" w:themeTint="80"/>
        </w:rPr>
        <w:t>qirā’ah bāthiniyyah</w:t>
      </w:r>
      <w:r w:rsidRPr="007C2769">
        <w:rPr>
          <w:color w:val="7F7F7F" w:themeColor="text1" w:themeTint="80"/>
        </w:rPr>
        <w:t>) yang terlalu terfokus kepada hal-hal esoteris yang sebetulnya berada di luar kandungan makna dan konteks dari teks.</w:t>
      </w:r>
    </w:p>
  </w:footnote>
  <w:footnote w:id="18">
    <w:p w14:paraId="21568694" w14:textId="77777777" w:rsidR="00C613CC" w:rsidRPr="007C2769" w:rsidRDefault="00C613CC" w:rsidP="007C2769">
      <w:pPr>
        <w:pStyle w:val="FootnoteText"/>
        <w:ind w:firstLine="567"/>
        <w:jc w:val="both"/>
        <w:rPr>
          <w:color w:val="7F7F7F" w:themeColor="text1" w:themeTint="80"/>
        </w:rPr>
      </w:pPr>
      <w:r w:rsidRPr="007C2769">
        <w:rPr>
          <w:rStyle w:val="FootnoteReference"/>
          <w:color w:val="7F7F7F" w:themeColor="text1" w:themeTint="80"/>
        </w:rPr>
        <w:footnoteRef/>
      </w:r>
      <w:r w:rsidRPr="007C2769">
        <w:rPr>
          <w:color w:val="7F7F7F" w:themeColor="text1" w:themeTint="80"/>
        </w:rPr>
        <w:t xml:space="preserve"> Bruinessen, </w:t>
      </w:r>
      <w:r w:rsidRPr="007C2769">
        <w:rPr>
          <w:i/>
          <w:iCs/>
          <w:color w:val="7F7F7F" w:themeColor="text1" w:themeTint="80"/>
        </w:rPr>
        <w:t>NU</w:t>
      </w:r>
      <w:r w:rsidRPr="007C2769">
        <w:rPr>
          <w:color w:val="7F7F7F" w:themeColor="text1" w:themeTint="80"/>
        </w:rPr>
        <w:t xml:space="preserve">., hlm. 81-134; Feillard, </w:t>
      </w:r>
      <w:r w:rsidRPr="007C2769">
        <w:rPr>
          <w:i/>
          <w:iCs/>
          <w:color w:val="7F7F7F" w:themeColor="text1" w:themeTint="80"/>
        </w:rPr>
        <w:t>NU</w:t>
      </w:r>
      <w:r w:rsidRPr="007C2769">
        <w:rPr>
          <w:color w:val="7F7F7F" w:themeColor="text1" w:themeTint="80"/>
        </w:rPr>
        <w:t>., hlm. 211-252.</w:t>
      </w:r>
    </w:p>
  </w:footnote>
  <w:footnote w:id="19">
    <w:p w14:paraId="0F75A8B8" w14:textId="77777777" w:rsidR="00C613CC" w:rsidRPr="007C2769" w:rsidRDefault="00C613CC" w:rsidP="007C2769">
      <w:pPr>
        <w:pStyle w:val="FootnoteText"/>
        <w:ind w:firstLine="567"/>
        <w:jc w:val="both"/>
        <w:rPr>
          <w:color w:val="7F7F7F" w:themeColor="text1" w:themeTint="80"/>
        </w:rPr>
      </w:pPr>
      <w:r w:rsidRPr="007C2769">
        <w:rPr>
          <w:rStyle w:val="FootnoteReference"/>
          <w:color w:val="7F7F7F" w:themeColor="text1" w:themeTint="80"/>
        </w:rPr>
        <w:footnoteRef/>
      </w:r>
      <w:r w:rsidRPr="007C2769">
        <w:rPr>
          <w:color w:val="7F7F7F" w:themeColor="text1" w:themeTint="80"/>
        </w:rPr>
        <w:t xml:space="preserve"> Terkait ragam tantangan yang dihadapi NU pascadeklarasi </w:t>
      </w:r>
      <w:r w:rsidRPr="007C2769">
        <w:rPr>
          <w:i/>
          <w:iCs/>
          <w:color w:val="7F7F7F" w:themeColor="text1" w:themeTint="80"/>
        </w:rPr>
        <w:t>Khittah 1926</w:t>
      </w:r>
      <w:r w:rsidRPr="007C2769">
        <w:rPr>
          <w:color w:val="7F7F7F" w:themeColor="text1" w:themeTint="80"/>
        </w:rPr>
        <w:t xml:space="preserve"> pada tahun 1984 tersebut, baca: Anzar Abdullah, “</w:t>
      </w:r>
      <w:r w:rsidRPr="007C2769">
        <w:rPr>
          <w:i/>
          <w:iCs/>
          <w:color w:val="7F7F7F" w:themeColor="text1" w:themeTint="80"/>
        </w:rPr>
        <w:t>Nahdatul Ulama</w:t>
      </w:r>
      <w:r w:rsidRPr="007C2769">
        <w:rPr>
          <w:color w:val="7F7F7F" w:themeColor="text1" w:themeTint="80"/>
        </w:rPr>
        <w:t xml:space="preserve"> and the </w:t>
      </w:r>
      <w:r w:rsidRPr="007C2769">
        <w:rPr>
          <w:i/>
          <w:iCs/>
          <w:color w:val="7F7F7F" w:themeColor="text1" w:themeTint="80"/>
        </w:rPr>
        <w:t>Khittah</w:t>
      </w:r>
      <w:r w:rsidRPr="007C2769">
        <w:rPr>
          <w:color w:val="7F7F7F" w:themeColor="text1" w:themeTint="80"/>
        </w:rPr>
        <w:t xml:space="preserve"> Revitalization: A Futuristic Critical Reflection for the Largest Organization in Indonesia”, </w:t>
      </w:r>
      <w:r w:rsidRPr="007C2769">
        <w:rPr>
          <w:i/>
          <w:iCs/>
          <w:color w:val="7F7F7F" w:themeColor="text1" w:themeTint="80"/>
        </w:rPr>
        <w:t>Tawarikh: International Journal for Historical Studies</w:t>
      </w:r>
      <w:r w:rsidRPr="007C2769">
        <w:rPr>
          <w:color w:val="7F7F7F" w:themeColor="text1" w:themeTint="80"/>
        </w:rPr>
        <w:t xml:space="preserve"> 3, No. 1 (2011), hlm. 95-108.</w:t>
      </w:r>
    </w:p>
  </w:footnote>
  <w:footnote w:id="20">
    <w:p w14:paraId="1ED6A8B0" w14:textId="77777777" w:rsidR="00C613CC" w:rsidRPr="007C2769" w:rsidRDefault="00C613CC" w:rsidP="007C2769">
      <w:pPr>
        <w:pStyle w:val="FootnoteText"/>
        <w:ind w:firstLine="567"/>
        <w:jc w:val="both"/>
        <w:rPr>
          <w:color w:val="7F7F7F" w:themeColor="text1" w:themeTint="80"/>
        </w:rPr>
      </w:pPr>
      <w:r w:rsidRPr="007C2769">
        <w:rPr>
          <w:rStyle w:val="FootnoteReference"/>
          <w:color w:val="7F7F7F" w:themeColor="text1" w:themeTint="80"/>
        </w:rPr>
        <w:footnoteRef/>
      </w:r>
      <w:r w:rsidRPr="007C2769">
        <w:rPr>
          <w:color w:val="7F7F7F" w:themeColor="text1" w:themeTint="80"/>
        </w:rPr>
        <w:t xml:space="preserve"> Bruinessen, “NU.”, hlm. xv-xvi.</w:t>
      </w:r>
    </w:p>
  </w:footnote>
  <w:footnote w:id="21">
    <w:p w14:paraId="2C121D96" w14:textId="77777777" w:rsidR="00C613CC" w:rsidRPr="007C2769" w:rsidRDefault="00C613CC" w:rsidP="007C2769">
      <w:pPr>
        <w:pStyle w:val="FootnoteText"/>
        <w:ind w:firstLine="567"/>
        <w:jc w:val="both"/>
        <w:rPr>
          <w:color w:val="7F7F7F" w:themeColor="text1" w:themeTint="80"/>
        </w:rPr>
      </w:pPr>
      <w:r w:rsidRPr="007C2769">
        <w:rPr>
          <w:rStyle w:val="FootnoteReference"/>
          <w:color w:val="7F7F7F" w:themeColor="text1" w:themeTint="80"/>
        </w:rPr>
        <w:footnoteRef/>
      </w:r>
      <w:r w:rsidRPr="007C2769">
        <w:rPr>
          <w:color w:val="7F7F7F" w:themeColor="text1" w:themeTint="80"/>
        </w:rPr>
        <w:t xml:space="preserve"> Idem, </w:t>
      </w:r>
      <w:r w:rsidRPr="007C2769">
        <w:rPr>
          <w:i/>
          <w:iCs/>
          <w:color w:val="7F7F7F" w:themeColor="text1" w:themeTint="80"/>
        </w:rPr>
        <w:t>NU</w:t>
      </w:r>
      <w:r w:rsidRPr="007C2769">
        <w:rPr>
          <w:color w:val="7F7F7F" w:themeColor="text1" w:themeTint="80"/>
        </w:rPr>
        <w:t xml:space="preserve">., hlm. 187-211; Feillard, </w:t>
      </w:r>
      <w:r w:rsidRPr="007C2769">
        <w:rPr>
          <w:i/>
          <w:iCs/>
          <w:color w:val="7F7F7F" w:themeColor="text1" w:themeTint="80"/>
        </w:rPr>
        <w:t>NU</w:t>
      </w:r>
      <w:r w:rsidRPr="007C2769">
        <w:rPr>
          <w:color w:val="7F7F7F" w:themeColor="text1" w:themeTint="80"/>
        </w:rPr>
        <w:t>., hlm. 338-345.</w:t>
      </w:r>
    </w:p>
  </w:footnote>
  <w:footnote w:id="22">
    <w:p w14:paraId="4E05DF6E" w14:textId="77777777" w:rsidR="00C613CC" w:rsidRPr="007C2769" w:rsidRDefault="00C613CC" w:rsidP="007C2769">
      <w:pPr>
        <w:pStyle w:val="FootnoteText"/>
        <w:ind w:firstLine="567"/>
        <w:jc w:val="both"/>
        <w:rPr>
          <w:color w:val="7F7F7F" w:themeColor="text1" w:themeTint="80"/>
        </w:rPr>
      </w:pPr>
      <w:r w:rsidRPr="007C2769">
        <w:rPr>
          <w:rStyle w:val="FootnoteReference"/>
          <w:color w:val="7F7F7F" w:themeColor="text1" w:themeTint="80"/>
        </w:rPr>
        <w:footnoteRef/>
      </w:r>
      <w:r w:rsidRPr="007C2769">
        <w:rPr>
          <w:color w:val="7F7F7F" w:themeColor="text1" w:themeTint="80"/>
        </w:rPr>
        <w:t xml:space="preserve"> Bruinessen, </w:t>
      </w:r>
      <w:r w:rsidRPr="007C2769">
        <w:rPr>
          <w:i/>
          <w:iCs/>
          <w:color w:val="7F7F7F" w:themeColor="text1" w:themeTint="80"/>
        </w:rPr>
        <w:t>NU</w:t>
      </w:r>
      <w:r w:rsidRPr="007C2769">
        <w:rPr>
          <w:color w:val="7F7F7F" w:themeColor="text1" w:themeTint="80"/>
        </w:rPr>
        <w:t>., hlm. 222; Zahro, “Lajnah.”, hlm. 128.</w:t>
      </w:r>
    </w:p>
  </w:footnote>
  <w:footnote w:id="23">
    <w:p w14:paraId="525953EE" w14:textId="77777777" w:rsidR="00C613CC" w:rsidRPr="007C2769" w:rsidRDefault="00C613CC" w:rsidP="007C2769">
      <w:pPr>
        <w:pStyle w:val="FootnoteText"/>
        <w:ind w:firstLine="567"/>
        <w:jc w:val="both"/>
        <w:rPr>
          <w:color w:val="7F7F7F" w:themeColor="text1" w:themeTint="80"/>
        </w:rPr>
      </w:pPr>
      <w:r w:rsidRPr="007C2769">
        <w:rPr>
          <w:rStyle w:val="FootnoteReference"/>
          <w:color w:val="7F7F7F" w:themeColor="text1" w:themeTint="80"/>
        </w:rPr>
        <w:footnoteRef/>
      </w:r>
      <w:r w:rsidRPr="007C2769">
        <w:rPr>
          <w:color w:val="7F7F7F" w:themeColor="text1" w:themeTint="80"/>
        </w:rPr>
        <w:t xml:space="preserve"> Feillard, </w:t>
      </w:r>
      <w:r w:rsidRPr="007C2769">
        <w:rPr>
          <w:i/>
          <w:iCs/>
          <w:color w:val="7F7F7F" w:themeColor="text1" w:themeTint="80"/>
        </w:rPr>
        <w:t>NU</w:t>
      </w:r>
      <w:r w:rsidRPr="007C2769">
        <w:rPr>
          <w:color w:val="7F7F7F" w:themeColor="text1" w:themeTint="80"/>
        </w:rPr>
        <w:t>., hlm. 128-129.</w:t>
      </w:r>
    </w:p>
  </w:footnote>
  <w:footnote w:id="24">
    <w:p w14:paraId="47F5AA8D" w14:textId="77777777" w:rsidR="00C613CC" w:rsidRPr="007C2769" w:rsidRDefault="00C613CC" w:rsidP="007C2769">
      <w:pPr>
        <w:pStyle w:val="FootnoteText"/>
        <w:ind w:firstLine="567"/>
        <w:jc w:val="both"/>
        <w:rPr>
          <w:color w:val="7F7F7F" w:themeColor="text1" w:themeTint="80"/>
        </w:rPr>
      </w:pPr>
      <w:r w:rsidRPr="007C2769">
        <w:rPr>
          <w:rStyle w:val="FootnoteReference"/>
          <w:color w:val="7F7F7F" w:themeColor="text1" w:themeTint="80"/>
        </w:rPr>
        <w:footnoteRef/>
      </w:r>
      <w:r w:rsidRPr="007C2769">
        <w:rPr>
          <w:color w:val="7F7F7F" w:themeColor="text1" w:themeTint="80"/>
        </w:rPr>
        <w:t xml:space="preserve"> </w:t>
      </w:r>
      <w:r w:rsidRPr="007C2769">
        <w:rPr>
          <w:i/>
          <w:iCs/>
          <w:color w:val="7F7F7F" w:themeColor="text1" w:themeTint="80"/>
        </w:rPr>
        <w:t>Ibid</w:t>
      </w:r>
      <w:r w:rsidRPr="007C2769">
        <w:rPr>
          <w:color w:val="7F7F7F" w:themeColor="text1" w:themeTint="80"/>
        </w:rPr>
        <w:t>.; Zahro, “Lajnah.”, 129.</w:t>
      </w:r>
    </w:p>
  </w:footnote>
  <w:footnote w:id="25">
    <w:p w14:paraId="369CBBF0" w14:textId="77777777" w:rsidR="00C613CC" w:rsidRPr="007C2769" w:rsidRDefault="00C613CC" w:rsidP="007C2769">
      <w:pPr>
        <w:pStyle w:val="FootnoteText"/>
        <w:ind w:firstLine="567"/>
        <w:jc w:val="both"/>
        <w:rPr>
          <w:color w:val="7F7F7F" w:themeColor="text1" w:themeTint="80"/>
        </w:rPr>
      </w:pPr>
      <w:r w:rsidRPr="007C2769">
        <w:rPr>
          <w:rStyle w:val="FootnoteReference"/>
          <w:color w:val="7F7F7F" w:themeColor="text1" w:themeTint="80"/>
        </w:rPr>
        <w:footnoteRef/>
      </w:r>
      <w:r w:rsidRPr="007C2769">
        <w:rPr>
          <w:color w:val="7F7F7F" w:themeColor="text1" w:themeTint="80"/>
        </w:rPr>
        <w:t xml:space="preserve"> Terkait liputan media massa terhadap gagasan bermazhab secara </w:t>
      </w:r>
      <w:r w:rsidRPr="007C2769">
        <w:rPr>
          <w:i/>
          <w:iCs/>
          <w:color w:val="7F7F7F" w:themeColor="text1" w:themeTint="80"/>
        </w:rPr>
        <w:t>manhajī</w:t>
      </w:r>
      <w:r w:rsidRPr="007C2769">
        <w:rPr>
          <w:color w:val="7F7F7F" w:themeColor="text1" w:themeTint="80"/>
        </w:rPr>
        <w:t xml:space="preserve"> tersebut, baca: A. Qodri A. Azizy, </w:t>
      </w:r>
      <w:r w:rsidRPr="007C2769">
        <w:rPr>
          <w:i/>
          <w:iCs/>
          <w:color w:val="7F7F7F" w:themeColor="text1" w:themeTint="80"/>
        </w:rPr>
        <w:t>Reformasi Bermazhab: Sebuah Ikhtiar Menuju Ijtihad Sesuai Saintifik-Modern</w:t>
      </w:r>
      <w:r w:rsidRPr="007C2769">
        <w:rPr>
          <w:color w:val="7F7F7F" w:themeColor="text1" w:themeTint="80"/>
        </w:rPr>
        <w:t>, ctk. I (Bandung: Mizan, 2003), hlm. 62-63.</w:t>
      </w:r>
    </w:p>
  </w:footnote>
  <w:footnote w:id="26">
    <w:p w14:paraId="35E2C26D" w14:textId="77777777" w:rsidR="00C613CC" w:rsidRPr="007C2769" w:rsidRDefault="00C613CC" w:rsidP="007C2769">
      <w:pPr>
        <w:pStyle w:val="FootnoteText"/>
        <w:ind w:firstLine="567"/>
        <w:jc w:val="both"/>
        <w:rPr>
          <w:color w:val="7F7F7F" w:themeColor="text1" w:themeTint="80"/>
        </w:rPr>
      </w:pPr>
      <w:r w:rsidRPr="007C2769">
        <w:rPr>
          <w:rStyle w:val="FootnoteReference"/>
          <w:color w:val="7F7F7F" w:themeColor="text1" w:themeTint="80"/>
        </w:rPr>
        <w:footnoteRef/>
      </w:r>
      <w:r w:rsidRPr="007C2769">
        <w:rPr>
          <w:color w:val="7F7F7F" w:themeColor="text1" w:themeTint="80"/>
        </w:rPr>
        <w:t xml:space="preserve"> Feillard, </w:t>
      </w:r>
      <w:r w:rsidRPr="007C2769">
        <w:rPr>
          <w:i/>
          <w:iCs/>
          <w:color w:val="7F7F7F" w:themeColor="text1" w:themeTint="80"/>
        </w:rPr>
        <w:t>NU</w:t>
      </w:r>
      <w:r w:rsidRPr="007C2769">
        <w:rPr>
          <w:color w:val="7F7F7F" w:themeColor="text1" w:themeTint="80"/>
        </w:rPr>
        <w:t xml:space="preserve">., hlm. 128-129 dan 338-345; Zahro, “Lajnah.”, 129-130; LTN-PBNU, </w:t>
      </w:r>
      <w:r w:rsidRPr="007C2769">
        <w:rPr>
          <w:i/>
          <w:iCs/>
          <w:color w:val="7F7F7F" w:themeColor="text1" w:themeTint="80"/>
        </w:rPr>
        <w:t>Ahkamul</w:t>
      </w:r>
      <w:r w:rsidRPr="007C2769">
        <w:rPr>
          <w:color w:val="7F7F7F" w:themeColor="text1" w:themeTint="80"/>
        </w:rPr>
        <w:t>., hlm. 470-473.</w:t>
      </w:r>
    </w:p>
  </w:footnote>
  <w:footnote w:id="27">
    <w:p w14:paraId="5A04EEAA" w14:textId="77777777" w:rsidR="000D189B" w:rsidRPr="007C2769" w:rsidRDefault="000D189B" w:rsidP="007C2769">
      <w:pPr>
        <w:pStyle w:val="FootnoteText"/>
        <w:ind w:firstLine="567"/>
        <w:jc w:val="both"/>
        <w:rPr>
          <w:color w:val="7F7F7F" w:themeColor="text1" w:themeTint="80"/>
        </w:rPr>
      </w:pPr>
      <w:r w:rsidRPr="007C2769">
        <w:rPr>
          <w:rStyle w:val="FootnoteReference"/>
          <w:color w:val="7F7F7F" w:themeColor="text1" w:themeTint="80"/>
        </w:rPr>
        <w:footnoteRef/>
      </w:r>
      <w:r w:rsidRPr="007C2769">
        <w:rPr>
          <w:color w:val="7F7F7F" w:themeColor="text1" w:themeTint="80"/>
        </w:rPr>
        <w:t xml:space="preserve"> LTN-PBNU, </w:t>
      </w:r>
      <w:r w:rsidRPr="007C2769">
        <w:rPr>
          <w:i/>
          <w:iCs/>
          <w:color w:val="7F7F7F" w:themeColor="text1" w:themeTint="80"/>
        </w:rPr>
        <w:t>Ahkamul</w:t>
      </w:r>
      <w:r w:rsidRPr="007C2769">
        <w:rPr>
          <w:color w:val="7F7F7F" w:themeColor="text1" w:themeTint="80"/>
        </w:rPr>
        <w:t>., hlm. 470.</w:t>
      </w:r>
    </w:p>
  </w:footnote>
  <w:footnote w:id="28">
    <w:p w14:paraId="0A44DA76" w14:textId="77777777" w:rsidR="000D189B" w:rsidRPr="007C2769" w:rsidRDefault="000D189B" w:rsidP="007C2769">
      <w:pPr>
        <w:pStyle w:val="FootnoteText"/>
        <w:ind w:firstLine="567"/>
        <w:jc w:val="both"/>
        <w:rPr>
          <w:color w:val="7F7F7F" w:themeColor="text1" w:themeTint="80"/>
        </w:rPr>
      </w:pPr>
      <w:r w:rsidRPr="007C2769">
        <w:rPr>
          <w:rStyle w:val="FootnoteReference"/>
          <w:color w:val="7F7F7F" w:themeColor="text1" w:themeTint="80"/>
        </w:rPr>
        <w:footnoteRef/>
      </w:r>
      <w:r w:rsidRPr="007C2769">
        <w:rPr>
          <w:color w:val="7F7F7F" w:themeColor="text1" w:themeTint="80"/>
        </w:rPr>
        <w:t xml:space="preserve"> </w:t>
      </w:r>
      <w:r w:rsidRPr="007C2769">
        <w:rPr>
          <w:i/>
          <w:iCs/>
          <w:color w:val="7F7F7F" w:themeColor="text1" w:themeTint="80"/>
        </w:rPr>
        <w:t>Ibid</w:t>
      </w:r>
      <w:r w:rsidRPr="007C2769">
        <w:rPr>
          <w:color w:val="7F7F7F" w:themeColor="text1" w:themeTint="80"/>
        </w:rPr>
        <w:t>., 470-471 dan 472-473.</w:t>
      </w:r>
    </w:p>
  </w:footnote>
  <w:footnote w:id="29">
    <w:p w14:paraId="06F342DF" w14:textId="77777777" w:rsidR="000D189B" w:rsidRPr="007C2769" w:rsidRDefault="000D189B" w:rsidP="007C2769">
      <w:pPr>
        <w:pStyle w:val="FootnoteText"/>
        <w:ind w:firstLine="567"/>
        <w:jc w:val="both"/>
        <w:rPr>
          <w:color w:val="7F7F7F" w:themeColor="text1" w:themeTint="80"/>
        </w:rPr>
      </w:pPr>
      <w:r w:rsidRPr="007C2769">
        <w:rPr>
          <w:rStyle w:val="FootnoteReference"/>
          <w:color w:val="7F7F7F" w:themeColor="text1" w:themeTint="80"/>
        </w:rPr>
        <w:footnoteRef/>
      </w:r>
      <w:r w:rsidRPr="007C2769">
        <w:rPr>
          <w:color w:val="7F7F7F" w:themeColor="text1" w:themeTint="80"/>
        </w:rPr>
        <w:t xml:space="preserve"> Adib, </w:t>
      </w:r>
      <w:r w:rsidRPr="007C2769">
        <w:rPr>
          <w:i/>
          <w:iCs/>
          <w:color w:val="7F7F7F" w:themeColor="text1" w:themeTint="80"/>
        </w:rPr>
        <w:t>Kritik Nalar Fikih Nahdlatul Ulama</w:t>
      </w:r>
      <w:r w:rsidRPr="007C2769">
        <w:rPr>
          <w:color w:val="7F7F7F" w:themeColor="text1" w:themeTint="80"/>
        </w:rPr>
        <w:t>, ctk. I (Malang: Kiri Sufi, 2018), hlm. 100.</w:t>
      </w:r>
    </w:p>
  </w:footnote>
  <w:footnote w:id="30">
    <w:p w14:paraId="3D591E42" w14:textId="77777777" w:rsidR="000D189B" w:rsidRPr="007C2769" w:rsidRDefault="000D189B" w:rsidP="007C2769">
      <w:pPr>
        <w:pStyle w:val="FootnoteText"/>
        <w:ind w:firstLine="567"/>
        <w:jc w:val="both"/>
        <w:rPr>
          <w:color w:val="7F7F7F" w:themeColor="text1" w:themeTint="80"/>
        </w:rPr>
      </w:pPr>
      <w:r w:rsidRPr="007C2769">
        <w:rPr>
          <w:rStyle w:val="FootnoteReference"/>
          <w:color w:val="7F7F7F" w:themeColor="text1" w:themeTint="80"/>
        </w:rPr>
        <w:footnoteRef/>
      </w:r>
      <w:r w:rsidRPr="007C2769">
        <w:rPr>
          <w:color w:val="7F7F7F" w:themeColor="text1" w:themeTint="80"/>
        </w:rPr>
        <w:t xml:space="preserve"> Tentang kritikan dan pembelaan terhadap konsep </w:t>
      </w:r>
      <w:r w:rsidRPr="007C2769">
        <w:rPr>
          <w:i/>
          <w:iCs/>
          <w:color w:val="7F7F7F" w:themeColor="text1" w:themeTint="80"/>
        </w:rPr>
        <w:t>ilḥāq</w:t>
      </w:r>
      <w:r w:rsidRPr="007C2769">
        <w:rPr>
          <w:color w:val="7F7F7F" w:themeColor="text1" w:themeTint="80"/>
        </w:rPr>
        <w:t xml:space="preserve"> dalam Bahtsul Masail, lihat: Luthfi Hadi Aminuddin, “</w:t>
      </w:r>
      <w:r w:rsidRPr="007C2769">
        <w:rPr>
          <w:i/>
          <w:iCs/>
          <w:color w:val="7F7F7F" w:themeColor="text1" w:themeTint="80"/>
        </w:rPr>
        <w:t>Ilḥāq al-Masā’il bi Naẓā’irihā</w:t>
      </w:r>
      <w:r w:rsidRPr="007C2769">
        <w:rPr>
          <w:color w:val="7F7F7F" w:themeColor="text1" w:themeTint="80"/>
        </w:rPr>
        <w:t xml:space="preserve"> dan Penerapannya dalam </w:t>
      </w:r>
      <w:r w:rsidRPr="007C2769">
        <w:rPr>
          <w:i/>
          <w:iCs/>
          <w:color w:val="7F7F7F" w:themeColor="text1" w:themeTint="80"/>
        </w:rPr>
        <w:t>Baḥth al-Masā’il</w:t>
      </w:r>
      <w:r w:rsidRPr="007C2769">
        <w:rPr>
          <w:color w:val="7F7F7F" w:themeColor="text1" w:themeTint="80"/>
        </w:rPr>
        <w:t xml:space="preserve">”, </w:t>
      </w:r>
      <w:r w:rsidRPr="007C2769">
        <w:rPr>
          <w:i/>
          <w:iCs/>
          <w:color w:val="7F7F7F" w:themeColor="text1" w:themeTint="80"/>
        </w:rPr>
        <w:t>Al-Tahrir: Jurnal Pemikiran Islam</w:t>
      </w:r>
      <w:r w:rsidRPr="007C2769">
        <w:rPr>
          <w:color w:val="7F7F7F" w:themeColor="text1" w:themeTint="80"/>
        </w:rPr>
        <w:t>, Vol. 13, No. 2 (Nopember 2013), 297-320.</w:t>
      </w:r>
    </w:p>
  </w:footnote>
  <w:footnote w:id="31">
    <w:p w14:paraId="45795D07" w14:textId="77777777" w:rsidR="000D189B" w:rsidRPr="007C2769" w:rsidRDefault="000D189B" w:rsidP="007C2769">
      <w:pPr>
        <w:pStyle w:val="FootnoteText"/>
        <w:ind w:firstLine="567"/>
        <w:jc w:val="both"/>
        <w:rPr>
          <w:color w:val="7F7F7F" w:themeColor="text1" w:themeTint="80"/>
        </w:rPr>
      </w:pPr>
      <w:r w:rsidRPr="007C2769">
        <w:rPr>
          <w:rStyle w:val="FootnoteReference"/>
          <w:color w:val="7F7F7F" w:themeColor="text1" w:themeTint="80"/>
        </w:rPr>
        <w:footnoteRef/>
      </w:r>
      <w:r w:rsidRPr="007C2769">
        <w:rPr>
          <w:color w:val="7F7F7F" w:themeColor="text1" w:themeTint="80"/>
        </w:rPr>
        <w:t xml:space="preserve"> Sahal Mahfudh, “Bahtsul Nasa’il dan Istinbath Hukum NU: Sebuah Catatan Pendek”, Kata Pengantar dalam M. Imdadun Rahmat </w:t>
      </w:r>
      <w:r w:rsidRPr="007C2769">
        <w:rPr>
          <w:i/>
          <w:iCs/>
          <w:color w:val="7F7F7F" w:themeColor="text1" w:themeTint="80"/>
        </w:rPr>
        <w:t>et al.</w:t>
      </w:r>
      <w:r w:rsidRPr="007C2769">
        <w:rPr>
          <w:color w:val="7F7F7F" w:themeColor="text1" w:themeTint="80"/>
        </w:rPr>
        <w:t xml:space="preserve">, </w:t>
      </w:r>
      <w:r w:rsidRPr="007C2769">
        <w:rPr>
          <w:i/>
          <w:iCs/>
          <w:color w:val="7F7F7F" w:themeColor="text1" w:themeTint="80"/>
        </w:rPr>
        <w:t>Kritik Nalar Fiqih NU: Transformasi Paradigma Bahtsul Masail</w:t>
      </w:r>
      <w:r w:rsidRPr="007C2769">
        <w:rPr>
          <w:color w:val="7F7F7F" w:themeColor="text1" w:themeTint="80"/>
        </w:rPr>
        <w:t>, ctk. I (Jakarta: Lakpesdam, 2002), hlm. xiii-xiv.</w:t>
      </w:r>
    </w:p>
  </w:footnote>
  <w:footnote w:id="32">
    <w:p w14:paraId="309CFB7B" w14:textId="77777777" w:rsidR="000D189B" w:rsidRPr="007C2769" w:rsidRDefault="000D189B" w:rsidP="007C2769">
      <w:pPr>
        <w:pStyle w:val="FootnoteText"/>
        <w:ind w:firstLine="567"/>
        <w:jc w:val="both"/>
        <w:rPr>
          <w:color w:val="7F7F7F" w:themeColor="text1" w:themeTint="80"/>
        </w:rPr>
      </w:pPr>
      <w:r w:rsidRPr="007C2769">
        <w:rPr>
          <w:rStyle w:val="FootnoteReference"/>
          <w:color w:val="7F7F7F" w:themeColor="text1" w:themeTint="80"/>
        </w:rPr>
        <w:footnoteRef/>
      </w:r>
      <w:r w:rsidRPr="007C2769">
        <w:rPr>
          <w:color w:val="7F7F7F" w:themeColor="text1" w:themeTint="80"/>
        </w:rPr>
        <w:t xml:space="preserve"> Adib, </w:t>
      </w:r>
      <w:r w:rsidRPr="007C2769">
        <w:rPr>
          <w:i/>
          <w:iCs/>
          <w:color w:val="7F7F7F" w:themeColor="text1" w:themeTint="80"/>
        </w:rPr>
        <w:t>Kritik</w:t>
      </w:r>
      <w:r w:rsidRPr="007C2769">
        <w:rPr>
          <w:color w:val="7F7F7F" w:themeColor="text1" w:themeTint="80"/>
        </w:rPr>
        <w:t>., hlm. 102.</w:t>
      </w:r>
    </w:p>
  </w:footnote>
  <w:footnote w:id="33">
    <w:p w14:paraId="373FB01E" w14:textId="77777777" w:rsidR="00C27059" w:rsidRPr="007C2769" w:rsidRDefault="00C27059" w:rsidP="007C2769">
      <w:pPr>
        <w:pStyle w:val="FootnoteText"/>
        <w:ind w:firstLine="567"/>
        <w:jc w:val="both"/>
        <w:rPr>
          <w:color w:val="7F7F7F" w:themeColor="text1" w:themeTint="80"/>
        </w:rPr>
      </w:pPr>
      <w:r w:rsidRPr="007C2769">
        <w:rPr>
          <w:rStyle w:val="FootnoteReference"/>
          <w:color w:val="7F7F7F" w:themeColor="text1" w:themeTint="80"/>
        </w:rPr>
        <w:footnoteRef/>
      </w:r>
      <w:r w:rsidRPr="007C2769">
        <w:rPr>
          <w:color w:val="7F7F7F" w:themeColor="text1" w:themeTint="80"/>
        </w:rPr>
        <w:t xml:space="preserve"> LTN-PBNU, </w:t>
      </w:r>
      <w:r w:rsidRPr="007C2769">
        <w:rPr>
          <w:i/>
          <w:iCs/>
          <w:color w:val="7F7F7F" w:themeColor="text1" w:themeTint="80"/>
        </w:rPr>
        <w:t>Ahkamul</w:t>
      </w:r>
      <w:r w:rsidRPr="007C2769">
        <w:rPr>
          <w:color w:val="7F7F7F" w:themeColor="text1" w:themeTint="80"/>
        </w:rPr>
        <w:t>., hlm. 157.</w:t>
      </w:r>
    </w:p>
  </w:footnote>
  <w:footnote w:id="34">
    <w:p w14:paraId="6028B674" w14:textId="77777777" w:rsidR="00C27059" w:rsidRPr="007C2769" w:rsidRDefault="00C27059" w:rsidP="007C2769">
      <w:pPr>
        <w:pStyle w:val="FootnoteText"/>
        <w:ind w:firstLine="567"/>
        <w:jc w:val="both"/>
        <w:rPr>
          <w:color w:val="7F7F7F" w:themeColor="text1" w:themeTint="80"/>
        </w:rPr>
      </w:pPr>
      <w:r w:rsidRPr="007C2769">
        <w:rPr>
          <w:rStyle w:val="FootnoteReference"/>
          <w:color w:val="7F7F7F" w:themeColor="text1" w:themeTint="80"/>
        </w:rPr>
        <w:footnoteRef/>
      </w:r>
      <w:r w:rsidRPr="007C2769">
        <w:rPr>
          <w:color w:val="7F7F7F" w:themeColor="text1" w:themeTint="80"/>
        </w:rPr>
        <w:t xml:space="preserve"> Sebut saja, misalnya, Poetri Mardika di Jakarta (1912), Purborini di Tegal (1917), Wanito Soesilo di Pemalang (1918), Serekat Siti Fatimah di Garut (1918), Poetri Boedi Sedjati di Surabaya (1919), Wanito Oetomo di Yogyakarta (1920), Wanodyo di Yogyakarta (1920), Nahdatoel Faat di Yogyakarta (1920), Wanita Taman Siswa di Yogyakarta (1922), dan Ina Toeni di Ambon (1927). Lihat:</w:t>
      </w:r>
      <w:r w:rsidRPr="007C2769">
        <w:rPr>
          <w:color w:val="7F7F7F" w:themeColor="text1" w:themeTint="80"/>
          <w:sz w:val="24"/>
          <w:szCs w:val="24"/>
        </w:rPr>
        <w:t xml:space="preserve"> </w:t>
      </w:r>
      <w:r w:rsidRPr="007C2769">
        <w:rPr>
          <w:color w:val="7F7F7F" w:themeColor="text1" w:themeTint="80"/>
        </w:rPr>
        <w:t xml:space="preserve">Kurniawati Hastuti Dewi, </w:t>
      </w:r>
      <w:r w:rsidRPr="007C2769">
        <w:rPr>
          <w:i/>
          <w:iCs/>
          <w:color w:val="7F7F7F" w:themeColor="text1" w:themeTint="80"/>
        </w:rPr>
        <w:t>Indonesian Women and Local Politics: Islam, Gender, and Networks in Post-Suharta Indonesia</w:t>
      </w:r>
      <w:r w:rsidRPr="007C2769">
        <w:rPr>
          <w:color w:val="7F7F7F" w:themeColor="text1" w:themeTint="80"/>
        </w:rPr>
        <w:t>, edisi digital (Singapura dan Jepang: NUS Press dan Kyoto University Press, 2015), hlm. 31.</w:t>
      </w:r>
    </w:p>
  </w:footnote>
  <w:footnote w:id="35">
    <w:p w14:paraId="14EC7CAD" w14:textId="77777777" w:rsidR="00C27059" w:rsidRPr="007C2769" w:rsidRDefault="00C27059" w:rsidP="007C2769">
      <w:pPr>
        <w:pStyle w:val="FootnoteText"/>
        <w:ind w:firstLine="567"/>
        <w:jc w:val="both"/>
        <w:rPr>
          <w:color w:val="7F7F7F" w:themeColor="text1" w:themeTint="80"/>
        </w:rPr>
      </w:pPr>
      <w:r w:rsidRPr="007C2769">
        <w:rPr>
          <w:rStyle w:val="FootnoteReference"/>
          <w:color w:val="7F7F7F" w:themeColor="text1" w:themeTint="80"/>
        </w:rPr>
        <w:footnoteRef/>
      </w:r>
      <w:r w:rsidRPr="007C2769">
        <w:rPr>
          <w:color w:val="7F7F7F" w:themeColor="text1" w:themeTint="80"/>
        </w:rPr>
        <w:t xml:space="preserve"> LTN-PBNU, </w:t>
      </w:r>
      <w:r w:rsidRPr="007C2769">
        <w:rPr>
          <w:i/>
          <w:iCs/>
          <w:color w:val="7F7F7F" w:themeColor="text1" w:themeTint="80"/>
        </w:rPr>
        <w:t>Ahkamul</w:t>
      </w:r>
      <w:r w:rsidRPr="007C2769">
        <w:rPr>
          <w:color w:val="7F7F7F" w:themeColor="text1" w:themeTint="80"/>
        </w:rPr>
        <w:t>., hlm. 157.</w:t>
      </w:r>
    </w:p>
  </w:footnote>
  <w:footnote w:id="36">
    <w:p w14:paraId="4F77A7FA" w14:textId="77777777" w:rsidR="00C27059" w:rsidRPr="007C2769" w:rsidRDefault="00C27059" w:rsidP="007C2769">
      <w:pPr>
        <w:pStyle w:val="FootnoteText"/>
        <w:ind w:firstLine="567"/>
        <w:jc w:val="both"/>
        <w:rPr>
          <w:color w:val="7F7F7F" w:themeColor="text1" w:themeTint="80"/>
        </w:rPr>
      </w:pPr>
      <w:r w:rsidRPr="007C2769">
        <w:rPr>
          <w:rStyle w:val="FootnoteReference"/>
          <w:color w:val="7F7F7F" w:themeColor="text1" w:themeTint="80"/>
        </w:rPr>
        <w:footnoteRef/>
      </w:r>
      <w:r w:rsidRPr="007C2769">
        <w:rPr>
          <w:color w:val="7F7F7F" w:themeColor="text1" w:themeTint="80"/>
        </w:rPr>
        <w:t xml:space="preserve"> </w:t>
      </w:r>
      <w:r w:rsidRPr="007C2769">
        <w:rPr>
          <w:i/>
          <w:iCs/>
          <w:color w:val="7F7F7F" w:themeColor="text1" w:themeTint="80"/>
        </w:rPr>
        <w:t>Ibid</w:t>
      </w:r>
      <w:r w:rsidRPr="007C2769">
        <w:rPr>
          <w:color w:val="7F7F7F" w:themeColor="text1" w:themeTint="80"/>
        </w:rPr>
        <w:t xml:space="preserve">., hlm. 279-281. Fatwa ini juga berkait erat dengan fatwa lain pada edisi yang sama dengan tajuk “Memerangi Musuh yang sudah Ada di Tengah-tengah Kita”. Lihat: </w:t>
      </w:r>
      <w:r w:rsidRPr="007C2769">
        <w:rPr>
          <w:i/>
          <w:iCs/>
          <w:color w:val="7F7F7F" w:themeColor="text1" w:themeTint="80"/>
        </w:rPr>
        <w:t>Ibid</w:t>
      </w:r>
      <w:r w:rsidRPr="007C2769">
        <w:rPr>
          <w:color w:val="7F7F7F" w:themeColor="text1" w:themeTint="80"/>
        </w:rPr>
        <w:t>., hlm. 270-276.</w:t>
      </w:r>
    </w:p>
  </w:footnote>
  <w:footnote w:id="37">
    <w:p w14:paraId="3C740553" w14:textId="77777777" w:rsidR="00C27059" w:rsidRPr="007C2769" w:rsidRDefault="00C27059" w:rsidP="007C2769">
      <w:pPr>
        <w:pStyle w:val="FootnoteText"/>
        <w:ind w:firstLine="567"/>
        <w:jc w:val="both"/>
        <w:rPr>
          <w:color w:val="7F7F7F" w:themeColor="text1" w:themeTint="80"/>
        </w:rPr>
      </w:pPr>
      <w:r w:rsidRPr="007C2769">
        <w:rPr>
          <w:rStyle w:val="FootnoteReference"/>
          <w:color w:val="7F7F7F" w:themeColor="text1" w:themeTint="80"/>
        </w:rPr>
        <w:footnoteRef/>
      </w:r>
      <w:r w:rsidRPr="007C2769">
        <w:rPr>
          <w:color w:val="7F7F7F" w:themeColor="text1" w:themeTint="80"/>
        </w:rPr>
        <w:t xml:space="preserve"> Ayatrohaedi </w:t>
      </w:r>
      <w:r w:rsidRPr="007C2769">
        <w:rPr>
          <w:i/>
          <w:iCs/>
          <w:color w:val="7F7F7F" w:themeColor="text1" w:themeTint="80"/>
        </w:rPr>
        <w:t>et al.</w:t>
      </w:r>
      <w:r w:rsidRPr="007C2769">
        <w:rPr>
          <w:color w:val="7F7F7F" w:themeColor="text1" w:themeTint="80"/>
        </w:rPr>
        <w:t xml:space="preserve">, </w:t>
      </w:r>
      <w:r w:rsidRPr="007C2769">
        <w:rPr>
          <w:i/>
          <w:iCs/>
          <w:color w:val="7F7F7F" w:themeColor="text1" w:themeTint="80"/>
        </w:rPr>
        <w:t>Kumpulan Buklet Hari Sejarah I</w:t>
      </w:r>
      <w:r w:rsidRPr="007C2769">
        <w:rPr>
          <w:color w:val="7F7F7F" w:themeColor="text1" w:themeTint="80"/>
        </w:rPr>
        <w:t>, edisi digital (Jakarta: Direktorat Sejarah dan Nilai Tradisional Departemen Pendidikan dan Kebudayaan, 1994), hlm. 71-72.</w:t>
      </w:r>
    </w:p>
  </w:footnote>
  <w:footnote w:id="38">
    <w:p w14:paraId="49FD2362" w14:textId="77777777" w:rsidR="00C27059" w:rsidRPr="007C2769" w:rsidRDefault="00C27059" w:rsidP="007C2769">
      <w:pPr>
        <w:pStyle w:val="FootnoteText"/>
        <w:ind w:firstLine="567"/>
        <w:jc w:val="both"/>
        <w:rPr>
          <w:color w:val="7F7F7F" w:themeColor="text1" w:themeTint="80"/>
        </w:rPr>
      </w:pPr>
      <w:r w:rsidRPr="007C2769">
        <w:rPr>
          <w:rStyle w:val="FootnoteReference"/>
          <w:color w:val="7F7F7F" w:themeColor="text1" w:themeTint="80"/>
        </w:rPr>
        <w:footnoteRef/>
      </w:r>
      <w:r w:rsidRPr="007C2769">
        <w:rPr>
          <w:color w:val="7F7F7F" w:themeColor="text1" w:themeTint="80"/>
        </w:rPr>
        <w:t xml:space="preserve"> </w:t>
      </w:r>
      <w:r w:rsidRPr="007C2769">
        <w:rPr>
          <w:i/>
          <w:iCs/>
          <w:color w:val="7F7F7F" w:themeColor="text1" w:themeTint="80"/>
        </w:rPr>
        <w:t>Ibid</w:t>
      </w:r>
      <w:r w:rsidRPr="007C2769">
        <w:rPr>
          <w:color w:val="7F7F7F" w:themeColor="text1" w:themeTint="80"/>
        </w:rPr>
        <w:t xml:space="preserve">., hlm. 72. Hal ini terlihat dari data sejarah representasi perempuan di DPR RI, di mana pada periode 1950-1955 sudah ada sembilan orang perempuan atau 3,85% dari total 245 orang menjadi anggota DPR. Jumlah itu meningkat pada periode berikutnya (1955-1960) menjadi 17 orang atau 6,3% dari total 272 orang anggota. Lihat: Nalom Kurniawan, “Keterwakilan Perempuan di Dewan Perwakilan Rakyat Pasca Putusan Mahkamah Konstitusi Nomor 22-24/PUU-VI/2008”, </w:t>
      </w:r>
      <w:r w:rsidRPr="007C2769">
        <w:rPr>
          <w:i/>
          <w:iCs/>
          <w:color w:val="7F7F7F" w:themeColor="text1" w:themeTint="80"/>
        </w:rPr>
        <w:t>Jurnal Konstitusi</w:t>
      </w:r>
      <w:r w:rsidRPr="007C2769">
        <w:rPr>
          <w:color w:val="7F7F7F" w:themeColor="text1" w:themeTint="80"/>
        </w:rPr>
        <w:t>, Vol. 11, No. 4 (Desember 2014), hlm. 719.</w:t>
      </w:r>
    </w:p>
  </w:footnote>
  <w:footnote w:id="39">
    <w:p w14:paraId="0F434577" w14:textId="77777777" w:rsidR="00C27059" w:rsidRPr="007C2769" w:rsidRDefault="00C27059" w:rsidP="007C2769">
      <w:pPr>
        <w:pStyle w:val="FootnoteText"/>
        <w:ind w:firstLine="567"/>
        <w:jc w:val="both"/>
        <w:rPr>
          <w:color w:val="7F7F7F" w:themeColor="text1" w:themeTint="80"/>
        </w:rPr>
      </w:pPr>
      <w:r w:rsidRPr="007C2769">
        <w:rPr>
          <w:rStyle w:val="FootnoteReference"/>
          <w:color w:val="7F7F7F" w:themeColor="text1" w:themeTint="80"/>
        </w:rPr>
        <w:footnoteRef/>
      </w:r>
      <w:r w:rsidRPr="007C2769">
        <w:rPr>
          <w:color w:val="7F7F7F" w:themeColor="text1" w:themeTint="80"/>
        </w:rPr>
        <w:t xml:space="preserve"> LTN-PBNU, </w:t>
      </w:r>
      <w:r w:rsidRPr="007C2769">
        <w:rPr>
          <w:i/>
          <w:iCs/>
          <w:color w:val="7F7F7F" w:themeColor="text1" w:themeTint="80"/>
        </w:rPr>
        <w:t>Ahkamul</w:t>
      </w:r>
      <w:r w:rsidRPr="007C2769">
        <w:rPr>
          <w:color w:val="7F7F7F" w:themeColor="text1" w:themeTint="80"/>
        </w:rPr>
        <w:t>., hlm. 296.</w:t>
      </w:r>
    </w:p>
  </w:footnote>
  <w:footnote w:id="40">
    <w:p w14:paraId="22CC980F" w14:textId="77777777" w:rsidR="00C27059" w:rsidRPr="007C2769" w:rsidRDefault="00C27059" w:rsidP="007C2769">
      <w:pPr>
        <w:pStyle w:val="FootnoteText"/>
        <w:ind w:firstLine="567"/>
        <w:jc w:val="both"/>
        <w:rPr>
          <w:color w:val="7F7F7F" w:themeColor="text1" w:themeTint="80"/>
        </w:rPr>
      </w:pPr>
      <w:r w:rsidRPr="007C2769">
        <w:rPr>
          <w:rStyle w:val="FootnoteReference"/>
          <w:color w:val="7F7F7F" w:themeColor="text1" w:themeTint="80"/>
        </w:rPr>
        <w:footnoteRef/>
      </w:r>
      <w:r w:rsidRPr="007C2769">
        <w:rPr>
          <w:color w:val="7F7F7F" w:themeColor="text1" w:themeTint="80"/>
        </w:rPr>
        <w:t xml:space="preserve"> Muhammad al-Khathīb al-Syarbīnī, </w:t>
      </w:r>
      <w:r w:rsidRPr="007C2769">
        <w:rPr>
          <w:i/>
          <w:iCs/>
          <w:color w:val="7F7F7F" w:themeColor="text1" w:themeTint="80"/>
        </w:rPr>
        <w:t>Mughnī al-Muhtāj ilā Ma‘rifah Ma‘ānī Alfazh al-Minhāj</w:t>
      </w:r>
      <w:r w:rsidRPr="007C2769">
        <w:rPr>
          <w:color w:val="7F7F7F" w:themeColor="text1" w:themeTint="80"/>
        </w:rPr>
        <w:t>, vol. 6 (Beirut: Dār al-Kutub al-‘Ilmiyyah, 2000), hlm. 286-287.</w:t>
      </w:r>
    </w:p>
  </w:footnote>
  <w:footnote w:id="41">
    <w:p w14:paraId="1DF24946" w14:textId="77777777" w:rsidR="00C27059" w:rsidRPr="007C2769" w:rsidRDefault="00C27059" w:rsidP="007C2769">
      <w:pPr>
        <w:pStyle w:val="FootnoteText"/>
        <w:ind w:firstLine="567"/>
        <w:jc w:val="both"/>
        <w:rPr>
          <w:color w:val="7F7F7F" w:themeColor="text1" w:themeTint="80"/>
        </w:rPr>
      </w:pPr>
      <w:r w:rsidRPr="007C2769">
        <w:rPr>
          <w:rStyle w:val="FootnoteReference"/>
          <w:color w:val="7F7F7F" w:themeColor="text1" w:themeTint="80"/>
        </w:rPr>
        <w:footnoteRef/>
      </w:r>
      <w:r w:rsidRPr="007C2769">
        <w:rPr>
          <w:color w:val="7F7F7F" w:themeColor="text1" w:themeTint="80"/>
        </w:rPr>
        <w:t xml:space="preserve"> LTN-PBNU, </w:t>
      </w:r>
      <w:r w:rsidRPr="007C2769">
        <w:rPr>
          <w:i/>
          <w:iCs/>
          <w:color w:val="7F7F7F" w:themeColor="text1" w:themeTint="80"/>
        </w:rPr>
        <w:t>Ahkamul</w:t>
      </w:r>
      <w:r w:rsidRPr="007C2769">
        <w:rPr>
          <w:color w:val="7F7F7F" w:themeColor="text1" w:themeTint="80"/>
        </w:rPr>
        <w:t xml:space="preserve">., hlm. 296. Hadis yang dimaksud adalah: </w:t>
      </w:r>
    </w:p>
    <w:p w14:paraId="3FE1BFAD" w14:textId="77777777" w:rsidR="00C27059" w:rsidRPr="007C2769" w:rsidRDefault="00C27059" w:rsidP="007C2769">
      <w:pPr>
        <w:pStyle w:val="FootnoteText"/>
        <w:ind w:right="567" w:firstLine="567"/>
        <w:jc w:val="right"/>
        <w:rPr>
          <w:rFonts w:ascii="Traditional Arabic" w:hAnsi="Traditional Arabic" w:cs="Traditional Arabic"/>
          <w:color w:val="7F7F7F" w:themeColor="text1" w:themeTint="80"/>
          <w:sz w:val="28"/>
          <w:szCs w:val="28"/>
        </w:rPr>
      </w:pPr>
      <w:r w:rsidRPr="007C2769">
        <w:rPr>
          <w:rFonts w:ascii="Traditional Arabic" w:hAnsi="Traditional Arabic" w:cs="Traditional Arabic"/>
          <w:color w:val="7F7F7F" w:themeColor="text1" w:themeTint="80"/>
          <w:sz w:val="28"/>
          <w:szCs w:val="28"/>
          <w:rtl/>
        </w:rPr>
        <w:t>لن يفلح قوم ولوا أمرهم امرأة</w:t>
      </w:r>
      <w:r w:rsidRPr="007C2769">
        <w:rPr>
          <w:rFonts w:ascii="Traditional Arabic" w:hAnsi="Traditional Arabic" w:cs="Traditional Arabic"/>
          <w:color w:val="7F7F7F" w:themeColor="text1" w:themeTint="80"/>
          <w:sz w:val="28"/>
          <w:szCs w:val="28"/>
        </w:rPr>
        <w:t xml:space="preserve"> </w:t>
      </w:r>
    </w:p>
    <w:p w14:paraId="52831C80" w14:textId="77777777" w:rsidR="00C27059" w:rsidRPr="007C2769" w:rsidRDefault="00C27059" w:rsidP="007C2769">
      <w:pPr>
        <w:pStyle w:val="FootnoteText"/>
        <w:ind w:left="567" w:right="567"/>
        <w:jc w:val="both"/>
        <w:rPr>
          <w:color w:val="7F7F7F" w:themeColor="text1" w:themeTint="80"/>
        </w:rPr>
      </w:pPr>
      <w:r w:rsidRPr="007C2769">
        <w:rPr>
          <w:color w:val="7F7F7F" w:themeColor="text1" w:themeTint="80"/>
        </w:rPr>
        <w:t>“Tidak akan berbahagia suatu kaum yang menyerahkan urusannya kepada perempuan”</w:t>
      </w:r>
    </w:p>
  </w:footnote>
  <w:footnote w:id="42">
    <w:p w14:paraId="0AE92D60" w14:textId="77777777" w:rsidR="00C27059" w:rsidRPr="007C2769" w:rsidRDefault="00C27059" w:rsidP="007C2769">
      <w:pPr>
        <w:pStyle w:val="FootnoteText"/>
        <w:ind w:firstLine="567"/>
        <w:jc w:val="both"/>
        <w:rPr>
          <w:color w:val="7F7F7F" w:themeColor="text1" w:themeTint="80"/>
        </w:rPr>
      </w:pPr>
      <w:r w:rsidRPr="007C2769">
        <w:rPr>
          <w:rStyle w:val="FootnoteReference"/>
          <w:color w:val="7F7F7F" w:themeColor="text1" w:themeTint="80"/>
        </w:rPr>
        <w:footnoteRef/>
      </w:r>
      <w:r w:rsidRPr="007C2769">
        <w:rPr>
          <w:color w:val="7F7F7F" w:themeColor="text1" w:themeTint="80"/>
        </w:rPr>
        <w:t xml:space="preserve"> Kepala Desa yang dimaksud adalah Adalah Siti Hartini (kemudian bernama Sri Darningsih), seorang anggota PKI yang dipilih menjadi Kepada Desa Buloh, Blora, Jawa Tengah. Baca: Saskia Eleonora Wieringa, </w:t>
      </w:r>
      <w:r w:rsidRPr="007C2769">
        <w:rPr>
          <w:i/>
          <w:iCs/>
          <w:color w:val="7F7F7F" w:themeColor="text1" w:themeTint="80"/>
        </w:rPr>
        <w:t>Penghancuran Gerakan Perempuan: Politik Seksual di Indonesia Pascakejatuhan PKI</w:t>
      </w:r>
      <w:r w:rsidRPr="007C2769">
        <w:rPr>
          <w:color w:val="7F7F7F" w:themeColor="text1" w:themeTint="80"/>
        </w:rPr>
        <w:t>, ctk. I (Yogyakarta: Galangpress, 2010), hlm. 240-241.</w:t>
      </w:r>
    </w:p>
  </w:footnote>
  <w:footnote w:id="43">
    <w:p w14:paraId="2E7E6B4E" w14:textId="77777777" w:rsidR="00C27059" w:rsidRPr="007C2769" w:rsidRDefault="00C27059" w:rsidP="007C2769">
      <w:pPr>
        <w:pStyle w:val="FootnoteText"/>
        <w:ind w:firstLine="567"/>
        <w:jc w:val="both"/>
        <w:rPr>
          <w:color w:val="7F7F7F" w:themeColor="text1" w:themeTint="80"/>
        </w:rPr>
      </w:pPr>
      <w:r w:rsidRPr="007C2769">
        <w:rPr>
          <w:rStyle w:val="FootnoteReference"/>
          <w:color w:val="7F7F7F" w:themeColor="text1" w:themeTint="80"/>
        </w:rPr>
        <w:footnoteRef/>
      </w:r>
      <w:r w:rsidRPr="007C2769">
        <w:rPr>
          <w:color w:val="7F7F7F" w:themeColor="text1" w:themeTint="80"/>
        </w:rPr>
        <w:t xml:space="preserve"> LTN-PBNU, </w:t>
      </w:r>
      <w:r w:rsidRPr="007C2769">
        <w:rPr>
          <w:i/>
          <w:iCs/>
          <w:color w:val="7F7F7F" w:themeColor="text1" w:themeTint="80"/>
        </w:rPr>
        <w:t>Ahkamul</w:t>
      </w:r>
      <w:r w:rsidRPr="007C2769">
        <w:rPr>
          <w:color w:val="7F7F7F" w:themeColor="text1" w:themeTint="80"/>
        </w:rPr>
        <w:t>., hlm. 338-339.</w:t>
      </w:r>
    </w:p>
  </w:footnote>
  <w:footnote w:id="44">
    <w:p w14:paraId="4E51865A" w14:textId="77777777" w:rsidR="00E04F56" w:rsidRPr="007C2769" w:rsidRDefault="00E04F56" w:rsidP="007C2769">
      <w:pPr>
        <w:pStyle w:val="FootnoteText"/>
        <w:ind w:firstLine="567"/>
        <w:jc w:val="both"/>
        <w:rPr>
          <w:color w:val="7F7F7F" w:themeColor="text1" w:themeTint="80"/>
        </w:rPr>
      </w:pPr>
      <w:r w:rsidRPr="007C2769">
        <w:rPr>
          <w:rStyle w:val="FootnoteReference"/>
          <w:color w:val="7F7F7F" w:themeColor="text1" w:themeTint="80"/>
        </w:rPr>
        <w:footnoteRef/>
      </w:r>
      <w:r w:rsidRPr="007C2769">
        <w:rPr>
          <w:color w:val="7F7F7F" w:themeColor="text1" w:themeTint="80"/>
        </w:rPr>
        <w:t xml:space="preserve"> Adib dan Hasbullah, “Fleksibiltas.”, hlm. 94-95.</w:t>
      </w:r>
    </w:p>
  </w:footnote>
  <w:footnote w:id="45">
    <w:p w14:paraId="5465E192" w14:textId="77777777" w:rsidR="00E04F56" w:rsidRPr="007C2769" w:rsidRDefault="00E04F56" w:rsidP="007C2769">
      <w:pPr>
        <w:pStyle w:val="FootnoteText"/>
        <w:ind w:firstLine="567"/>
        <w:jc w:val="both"/>
        <w:rPr>
          <w:color w:val="7F7F7F" w:themeColor="text1" w:themeTint="80"/>
        </w:rPr>
      </w:pPr>
      <w:r w:rsidRPr="007C2769">
        <w:rPr>
          <w:rStyle w:val="FootnoteReference"/>
          <w:color w:val="7F7F7F" w:themeColor="text1" w:themeTint="80"/>
        </w:rPr>
        <w:footnoteRef/>
      </w:r>
      <w:r w:rsidRPr="007C2769">
        <w:rPr>
          <w:color w:val="7F7F7F" w:themeColor="text1" w:themeTint="80"/>
        </w:rPr>
        <w:t xml:space="preserve"> Adib, </w:t>
      </w:r>
      <w:r w:rsidRPr="007C2769">
        <w:rPr>
          <w:i/>
          <w:iCs/>
          <w:color w:val="7F7F7F" w:themeColor="text1" w:themeTint="80"/>
        </w:rPr>
        <w:t>Kritik</w:t>
      </w:r>
      <w:r w:rsidRPr="007C2769">
        <w:rPr>
          <w:color w:val="7F7F7F" w:themeColor="text1" w:themeTint="80"/>
        </w:rPr>
        <w:t>., hlm 42-48.</w:t>
      </w:r>
    </w:p>
  </w:footnote>
  <w:footnote w:id="46">
    <w:p w14:paraId="1BF3F593" w14:textId="77777777" w:rsidR="009A5B96" w:rsidRPr="007C2769" w:rsidRDefault="009A5B96" w:rsidP="007C2769">
      <w:pPr>
        <w:pStyle w:val="FootnoteText"/>
        <w:ind w:firstLine="567"/>
        <w:jc w:val="both"/>
        <w:rPr>
          <w:color w:val="7F7F7F" w:themeColor="text1" w:themeTint="80"/>
        </w:rPr>
      </w:pPr>
      <w:r w:rsidRPr="007C2769">
        <w:rPr>
          <w:rStyle w:val="FootnoteReference"/>
          <w:color w:val="7F7F7F" w:themeColor="text1" w:themeTint="80"/>
        </w:rPr>
        <w:footnoteRef/>
      </w:r>
      <w:r w:rsidRPr="007C2769">
        <w:rPr>
          <w:color w:val="7F7F7F" w:themeColor="text1" w:themeTint="80"/>
        </w:rPr>
        <w:t xml:space="preserve"> </w:t>
      </w:r>
      <w:hyperlink r:id="rId1" w:history="1">
        <w:r w:rsidRPr="007C2769">
          <w:rPr>
            <w:rStyle w:val="Hyperlink"/>
            <w:color w:val="7F7F7F" w:themeColor="text1" w:themeTint="80"/>
          </w:rPr>
          <w:t>https://drive.google.com/file/d/1YFzLjQ6pjWqhXuwx8YwpSL_fbYJWdyit/view</w:t>
        </w:r>
      </w:hyperlink>
      <w:r w:rsidRPr="007C2769">
        <w:rPr>
          <w:color w:val="7F7F7F" w:themeColor="text1" w:themeTint="80"/>
        </w:rPr>
        <w:t xml:space="preserve"> (akses 3 April 2021); Abdul Muqsith Ghazali (ed.), </w:t>
      </w:r>
      <w:r w:rsidRPr="007C2769">
        <w:rPr>
          <w:i/>
          <w:iCs/>
          <w:color w:val="7F7F7F" w:themeColor="text1" w:themeTint="80"/>
        </w:rPr>
        <w:t>K.H. Afifuddin Muhajir: Faqih-Ushuli dari Timur</w:t>
      </w:r>
      <w:r w:rsidRPr="007C2769">
        <w:rPr>
          <w:color w:val="7F7F7F" w:themeColor="text1" w:themeTint="80"/>
        </w:rPr>
        <w:t>, ctk. I (Malang: Intelegensia Media, 2021).</w:t>
      </w:r>
    </w:p>
  </w:footnote>
  <w:footnote w:id="47">
    <w:p w14:paraId="7DB48FD0" w14:textId="77777777" w:rsidR="009A5B96" w:rsidRPr="007C2769" w:rsidRDefault="009A5B96" w:rsidP="007C2769">
      <w:pPr>
        <w:pStyle w:val="FootnoteText"/>
        <w:ind w:firstLine="567"/>
        <w:jc w:val="both"/>
        <w:rPr>
          <w:color w:val="7F7F7F" w:themeColor="text1" w:themeTint="80"/>
        </w:rPr>
      </w:pPr>
      <w:r w:rsidRPr="007C2769">
        <w:rPr>
          <w:rStyle w:val="FootnoteReference"/>
          <w:color w:val="7F7F7F" w:themeColor="text1" w:themeTint="80"/>
        </w:rPr>
        <w:footnoteRef/>
      </w:r>
      <w:r w:rsidRPr="007C2769">
        <w:rPr>
          <w:color w:val="7F7F7F" w:themeColor="text1" w:themeTint="80"/>
        </w:rPr>
        <w:t xml:space="preserve"> Greg Fealy, </w:t>
      </w:r>
      <w:r w:rsidRPr="007C2769">
        <w:rPr>
          <w:i/>
          <w:iCs/>
          <w:color w:val="7F7F7F" w:themeColor="text1" w:themeTint="80"/>
        </w:rPr>
        <w:t>Ijtihad Politik Ulama: Sejarah NU 1952-1967</w:t>
      </w:r>
      <w:r w:rsidRPr="007C2769">
        <w:rPr>
          <w:color w:val="7F7F7F" w:themeColor="text1" w:themeTint="80"/>
        </w:rPr>
        <w:t>, terj. oleh Farid Wajidi dan Mulni Adelina Bachtiar, ctk. I (Yogyakarta: LKiS, 2003), hm. 76-70.</w:t>
      </w:r>
    </w:p>
  </w:footnote>
  <w:footnote w:id="48">
    <w:p w14:paraId="12FE2D3B" w14:textId="77777777" w:rsidR="009A5B96" w:rsidRPr="007C2769" w:rsidRDefault="009A5B96" w:rsidP="007C2769">
      <w:pPr>
        <w:pStyle w:val="FootnoteText"/>
        <w:ind w:firstLine="567"/>
        <w:jc w:val="both"/>
        <w:rPr>
          <w:color w:val="7F7F7F" w:themeColor="text1" w:themeTint="80"/>
        </w:rPr>
      </w:pPr>
      <w:r w:rsidRPr="007C2769">
        <w:rPr>
          <w:rStyle w:val="FootnoteReference"/>
          <w:color w:val="7F7F7F" w:themeColor="text1" w:themeTint="80"/>
        </w:rPr>
        <w:footnoteRef/>
      </w:r>
      <w:r w:rsidRPr="007C2769">
        <w:rPr>
          <w:color w:val="7F7F7F" w:themeColor="text1" w:themeTint="80"/>
        </w:rPr>
        <w:t xml:space="preserve"> LTN-PBNU, </w:t>
      </w:r>
      <w:r w:rsidRPr="007C2769">
        <w:rPr>
          <w:i/>
          <w:iCs/>
          <w:color w:val="7F7F7F" w:themeColor="text1" w:themeTint="80"/>
        </w:rPr>
        <w:t>Ahkamul</w:t>
      </w:r>
      <w:r w:rsidRPr="007C2769">
        <w:rPr>
          <w:color w:val="7F7F7F" w:themeColor="text1" w:themeTint="80"/>
        </w:rPr>
        <w:t>., hlm. 35, 79, 84-85, 132-133, 149, 198-199, 223-224, 234, 258-259, 270-276, 314-315, 365, 579-581, 640-643, dan 726-730.</w:t>
      </w:r>
    </w:p>
  </w:footnote>
  <w:footnote w:id="49">
    <w:p w14:paraId="3C19DDEA" w14:textId="77777777" w:rsidR="009A5B96" w:rsidRPr="007C2769" w:rsidRDefault="009A5B96" w:rsidP="007C2769">
      <w:pPr>
        <w:pStyle w:val="FootnoteText"/>
        <w:ind w:firstLine="567"/>
        <w:jc w:val="both"/>
        <w:rPr>
          <w:color w:val="7F7F7F" w:themeColor="text1" w:themeTint="80"/>
        </w:rPr>
      </w:pPr>
      <w:r w:rsidRPr="007C2769">
        <w:rPr>
          <w:rStyle w:val="FootnoteReference"/>
          <w:color w:val="7F7F7F" w:themeColor="text1" w:themeTint="80"/>
        </w:rPr>
        <w:footnoteRef/>
      </w:r>
      <w:r w:rsidRPr="007C2769">
        <w:rPr>
          <w:color w:val="7F7F7F" w:themeColor="text1" w:themeTint="80"/>
        </w:rPr>
        <w:t xml:space="preserve"> PWNU Jawa Timur, </w:t>
      </w:r>
      <w:r w:rsidRPr="007C2769">
        <w:rPr>
          <w:i/>
          <w:iCs/>
          <w:color w:val="7F7F7F" w:themeColor="text1" w:themeTint="80"/>
        </w:rPr>
        <w:t>NU Menjawab Problematika Umat: Keputusan Bahtsul Masail PWNU Jawa Timur</w:t>
      </w:r>
      <w:r w:rsidRPr="007C2769">
        <w:rPr>
          <w:color w:val="7F7F7F" w:themeColor="text1" w:themeTint="80"/>
        </w:rPr>
        <w:t xml:space="preserve"> (Surabaya: Khalista dan Al-Maba, 2010), hlm. 107-108, 130-132, 177-179, 261-262, 345-348; idem, </w:t>
      </w:r>
      <w:r w:rsidRPr="007C2769">
        <w:rPr>
          <w:i/>
          <w:iCs/>
          <w:color w:val="7F7F7F" w:themeColor="text1" w:themeTint="80"/>
        </w:rPr>
        <w:t>NU Menjawab Problematika Umat: Keputusan Bahtsul Masail PWNU Jawa Timur (1991-2013)</w:t>
      </w:r>
      <w:r w:rsidRPr="007C2769">
        <w:rPr>
          <w:color w:val="7F7F7F" w:themeColor="text1" w:themeTint="80"/>
        </w:rPr>
        <w:t>, ctk. I (Surabaya: Bina ASWAJA, 2013), hlm. 48, 214-215, 269-272, dan 371-373.</w:t>
      </w:r>
    </w:p>
  </w:footnote>
  <w:footnote w:id="50">
    <w:p w14:paraId="47633DAA" w14:textId="77777777" w:rsidR="009A5B96" w:rsidRPr="007C2769" w:rsidRDefault="009A5B96" w:rsidP="007C2769">
      <w:pPr>
        <w:pStyle w:val="FootnoteText"/>
        <w:ind w:firstLine="567"/>
        <w:jc w:val="both"/>
        <w:rPr>
          <w:rStyle w:val="FootnoteReference"/>
          <w:color w:val="7F7F7F" w:themeColor="text1" w:themeTint="80"/>
        </w:rPr>
      </w:pPr>
      <w:r w:rsidRPr="007C2769">
        <w:rPr>
          <w:rStyle w:val="FootnoteReference"/>
          <w:color w:val="7F7F7F" w:themeColor="text1" w:themeTint="80"/>
        </w:rPr>
        <w:footnoteRef/>
      </w:r>
      <w:r w:rsidRPr="007C2769">
        <w:rPr>
          <w:rStyle w:val="FootnoteReference"/>
          <w:color w:val="7F7F7F" w:themeColor="text1" w:themeTint="80"/>
        </w:rPr>
        <w:t xml:space="preserve"> </w:t>
      </w:r>
      <w:r w:rsidRPr="007C2769">
        <w:rPr>
          <w:color w:val="7F7F7F" w:themeColor="text1" w:themeTint="80"/>
        </w:rPr>
        <w:t xml:space="preserve">Status hukum paling ringan yang diputuskan waktu itu adalah status hukum makruh. Lihat: LTN-PBNU, </w:t>
      </w:r>
      <w:r w:rsidRPr="007C2769">
        <w:rPr>
          <w:i/>
          <w:iCs/>
          <w:color w:val="7F7F7F" w:themeColor="text1" w:themeTint="80"/>
        </w:rPr>
        <w:t>Ahkamul</w:t>
      </w:r>
      <w:r w:rsidRPr="007C2769">
        <w:rPr>
          <w:color w:val="7F7F7F" w:themeColor="text1" w:themeTint="80"/>
        </w:rPr>
        <w:t xml:space="preserve">., hlm. 35-36. </w:t>
      </w:r>
    </w:p>
  </w:footnote>
  <w:footnote w:id="51">
    <w:p w14:paraId="45416C90" w14:textId="77777777" w:rsidR="009A5B96" w:rsidRPr="007C2769" w:rsidRDefault="009A5B96" w:rsidP="007C2769">
      <w:pPr>
        <w:pStyle w:val="FootnoteText"/>
        <w:ind w:firstLine="567"/>
        <w:jc w:val="both"/>
        <w:rPr>
          <w:rStyle w:val="FootnoteReference"/>
          <w:color w:val="7F7F7F" w:themeColor="text1" w:themeTint="80"/>
        </w:rPr>
      </w:pPr>
      <w:r w:rsidRPr="007C2769">
        <w:rPr>
          <w:rStyle w:val="FootnoteReference"/>
          <w:color w:val="7F7F7F" w:themeColor="text1" w:themeTint="80"/>
        </w:rPr>
        <w:footnoteRef/>
      </w:r>
      <w:r w:rsidRPr="007C2769">
        <w:rPr>
          <w:rStyle w:val="FootnoteReference"/>
          <w:color w:val="7F7F7F" w:themeColor="text1" w:themeTint="80"/>
        </w:rPr>
        <w:t xml:space="preserve"> </w:t>
      </w:r>
      <w:r w:rsidRPr="007C2769">
        <w:rPr>
          <w:color w:val="7F7F7F" w:themeColor="text1" w:themeTint="80"/>
        </w:rPr>
        <w:t xml:space="preserve">Lathiful Khuluq, </w:t>
      </w:r>
      <w:r w:rsidRPr="007C2769">
        <w:rPr>
          <w:i/>
          <w:iCs/>
          <w:color w:val="7F7F7F" w:themeColor="text1" w:themeTint="80"/>
        </w:rPr>
        <w:t>Fajar Kebangunan Ulama: Biografi K.H. Hasyim Asy‘ari</w:t>
      </w:r>
      <w:r w:rsidRPr="007C2769">
        <w:rPr>
          <w:color w:val="7F7F7F" w:themeColor="text1" w:themeTint="80"/>
        </w:rPr>
        <w:t>, ctk. V (Yogyakarta: LKiS, 2009), hlm. 96.</w:t>
      </w:r>
    </w:p>
  </w:footnote>
  <w:footnote w:id="52">
    <w:p w14:paraId="79EEA6ED" w14:textId="77777777" w:rsidR="009A5B96" w:rsidRPr="007C2769" w:rsidRDefault="009A5B96" w:rsidP="007C2769">
      <w:pPr>
        <w:pStyle w:val="FootnoteText"/>
        <w:ind w:firstLine="567"/>
        <w:jc w:val="both"/>
        <w:rPr>
          <w:rStyle w:val="FootnoteReference"/>
          <w:color w:val="7F7F7F" w:themeColor="text1" w:themeTint="80"/>
        </w:rPr>
      </w:pPr>
      <w:r w:rsidRPr="007C2769">
        <w:rPr>
          <w:rStyle w:val="FootnoteReference"/>
          <w:color w:val="7F7F7F" w:themeColor="text1" w:themeTint="80"/>
        </w:rPr>
        <w:footnoteRef/>
      </w:r>
      <w:r w:rsidRPr="007C2769">
        <w:rPr>
          <w:rStyle w:val="FootnoteReference"/>
          <w:color w:val="7F7F7F" w:themeColor="text1" w:themeTint="80"/>
        </w:rPr>
        <w:t xml:space="preserve"> </w:t>
      </w:r>
      <w:r w:rsidRPr="007C2769">
        <w:rPr>
          <w:color w:val="7F7F7F" w:themeColor="text1" w:themeTint="80"/>
        </w:rPr>
        <w:t xml:space="preserve">Azyumardi Azra, “1530–1670: A Race between Islam and Christianity?”, dalam Jan S. Aritonang dan Karel Steenbrink (ed.), </w:t>
      </w:r>
      <w:r w:rsidRPr="007C2769">
        <w:rPr>
          <w:i/>
          <w:iCs/>
          <w:color w:val="7F7F7F" w:themeColor="text1" w:themeTint="80"/>
        </w:rPr>
        <w:t>A History of Christianity in Indonesia</w:t>
      </w:r>
      <w:r w:rsidRPr="007C2769">
        <w:rPr>
          <w:color w:val="7F7F7F" w:themeColor="text1" w:themeTint="80"/>
        </w:rPr>
        <w:t xml:space="preserve">, ctk. I (Leiden dan Boston: Brill, 2008), hlm. 15. </w:t>
      </w:r>
    </w:p>
  </w:footnote>
  <w:footnote w:id="53">
    <w:p w14:paraId="5386D166" w14:textId="77777777" w:rsidR="009A5B96" w:rsidRPr="007C2769" w:rsidRDefault="009A5B96" w:rsidP="007C2769">
      <w:pPr>
        <w:pStyle w:val="FootnoteText"/>
        <w:ind w:firstLine="567"/>
        <w:jc w:val="both"/>
        <w:rPr>
          <w:color w:val="7F7F7F" w:themeColor="text1" w:themeTint="80"/>
        </w:rPr>
      </w:pPr>
      <w:r w:rsidRPr="007C2769">
        <w:rPr>
          <w:rStyle w:val="FootnoteReference"/>
          <w:color w:val="7F7F7F" w:themeColor="text1" w:themeTint="80"/>
        </w:rPr>
        <w:footnoteRef/>
      </w:r>
      <w:r w:rsidRPr="007C2769">
        <w:rPr>
          <w:color w:val="7F7F7F" w:themeColor="text1" w:themeTint="80"/>
        </w:rPr>
        <w:t xml:space="preserve"> Agus Irfan, “</w:t>
      </w:r>
      <w:r w:rsidRPr="007C2769">
        <w:rPr>
          <w:i/>
          <w:iCs/>
          <w:color w:val="7F7F7F" w:themeColor="text1" w:themeTint="80"/>
        </w:rPr>
        <w:t>Local Wisdom</w:t>
      </w:r>
      <w:r w:rsidRPr="007C2769">
        <w:rPr>
          <w:color w:val="7F7F7F" w:themeColor="text1" w:themeTint="80"/>
        </w:rPr>
        <w:t xml:space="preserve"> dalam Pemikiran Kyai Sholeh Darat: Telaah terhadap Kitab Fiqh </w:t>
      </w:r>
      <w:r w:rsidRPr="007C2769">
        <w:rPr>
          <w:i/>
          <w:iCs/>
          <w:color w:val="7F7F7F" w:themeColor="text1" w:themeTint="80"/>
        </w:rPr>
        <w:t>Majmū‘āt al-Sharī‘ah al-Kāfiyah li al-‘Awām</w:t>
      </w:r>
      <w:r w:rsidRPr="007C2769">
        <w:rPr>
          <w:color w:val="7F7F7F" w:themeColor="text1" w:themeTint="80"/>
        </w:rPr>
        <w:t xml:space="preserve">”, </w:t>
      </w:r>
      <w:r w:rsidRPr="007C2769">
        <w:rPr>
          <w:i/>
          <w:iCs/>
          <w:color w:val="7F7F7F" w:themeColor="text1" w:themeTint="80"/>
        </w:rPr>
        <w:t>Ulul Albab: Jurnal Studi dan Penelitian Hukum Islam</w:t>
      </w:r>
      <w:r w:rsidRPr="007C2769">
        <w:rPr>
          <w:color w:val="7F7F7F" w:themeColor="text1" w:themeTint="80"/>
        </w:rPr>
        <w:t>, Vol. 1, No. 1 (Oktober 2017).</w:t>
      </w:r>
    </w:p>
  </w:footnote>
  <w:footnote w:id="54">
    <w:p w14:paraId="761C2745" w14:textId="77777777" w:rsidR="009A5B96" w:rsidRPr="007C2769" w:rsidRDefault="009A5B96" w:rsidP="007C2769">
      <w:pPr>
        <w:pStyle w:val="FootnoteText"/>
        <w:ind w:firstLine="567"/>
        <w:jc w:val="both"/>
        <w:rPr>
          <w:rStyle w:val="FootnoteReference"/>
          <w:color w:val="7F7F7F" w:themeColor="text1" w:themeTint="80"/>
        </w:rPr>
      </w:pPr>
      <w:r w:rsidRPr="007C2769">
        <w:rPr>
          <w:rStyle w:val="FootnoteReference"/>
          <w:color w:val="7F7F7F" w:themeColor="text1" w:themeTint="80"/>
        </w:rPr>
        <w:footnoteRef/>
      </w:r>
      <w:r w:rsidRPr="007C2769">
        <w:rPr>
          <w:rStyle w:val="FootnoteReference"/>
          <w:color w:val="7F7F7F" w:themeColor="text1" w:themeTint="80"/>
        </w:rPr>
        <w:t xml:space="preserve"> </w:t>
      </w:r>
      <w:r w:rsidRPr="007C2769">
        <w:rPr>
          <w:color w:val="7F7F7F" w:themeColor="text1" w:themeTint="80"/>
        </w:rPr>
        <w:t xml:space="preserve">M.C. Ricklefs, </w:t>
      </w:r>
      <w:r w:rsidRPr="007C2769">
        <w:rPr>
          <w:i/>
          <w:iCs/>
          <w:color w:val="7F7F7F" w:themeColor="text1" w:themeTint="80"/>
        </w:rPr>
        <w:t>Mengislamkan Jawa: Sejarah Islamisasi di Jawa dan Penentangnya dari 1930 sampai Sekarang</w:t>
      </w:r>
      <w:r w:rsidRPr="007C2769">
        <w:rPr>
          <w:color w:val="7F7F7F" w:themeColor="text1" w:themeTint="80"/>
        </w:rPr>
        <w:t>, ctk. I (Jakarta: PT Serambi Ilmu Semesta, 2013), hlm. 45.</w:t>
      </w:r>
    </w:p>
  </w:footnote>
  <w:footnote w:id="55">
    <w:p w14:paraId="311B6D84" w14:textId="77777777" w:rsidR="009A5B96" w:rsidRPr="007C2769" w:rsidRDefault="009A5B96" w:rsidP="007C2769">
      <w:pPr>
        <w:pStyle w:val="FootnoteText"/>
        <w:ind w:firstLine="567"/>
        <w:jc w:val="both"/>
        <w:rPr>
          <w:rStyle w:val="FootnoteReference"/>
          <w:color w:val="7F7F7F" w:themeColor="text1" w:themeTint="80"/>
        </w:rPr>
      </w:pPr>
      <w:r w:rsidRPr="007C2769">
        <w:rPr>
          <w:rStyle w:val="FootnoteReference"/>
          <w:color w:val="7F7F7F" w:themeColor="text1" w:themeTint="80"/>
        </w:rPr>
        <w:footnoteRef/>
      </w:r>
      <w:r w:rsidRPr="007C2769">
        <w:rPr>
          <w:rStyle w:val="FootnoteReference"/>
          <w:color w:val="7F7F7F" w:themeColor="text1" w:themeTint="80"/>
        </w:rPr>
        <w:t xml:space="preserve"> </w:t>
      </w:r>
      <w:r w:rsidRPr="007C2769">
        <w:rPr>
          <w:color w:val="7F7F7F" w:themeColor="text1" w:themeTint="80"/>
        </w:rPr>
        <w:t xml:space="preserve">Idem, </w:t>
      </w:r>
      <w:r w:rsidRPr="007C2769">
        <w:rPr>
          <w:i/>
          <w:iCs/>
          <w:color w:val="7F7F7F" w:themeColor="text1" w:themeTint="80"/>
        </w:rPr>
        <w:t>Polarising Javanese Society: Islamic and Other Visions (c. 1830-1900)</w:t>
      </w:r>
      <w:r w:rsidRPr="007C2769">
        <w:rPr>
          <w:color w:val="7F7F7F" w:themeColor="text1" w:themeTint="80"/>
        </w:rPr>
        <w:t xml:space="preserve">, ctk. I (Singapura: National University of Singapore, 2007), hlm. 181-211. Gerakan anti-Islam itu ditandai dengan munculnya </w:t>
      </w:r>
      <w:r w:rsidRPr="007C2769">
        <w:rPr>
          <w:i/>
          <w:iCs/>
          <w:color w:val="7F7F7F" w:themeColor="text1" w:themeTint="80"/>
        </w:rPr>
        <w:t xml:space="preserve">Babad Kědhiri, Serat Děrmagandhul, </w:t>
      </w:r>
      <w:r w:rsidRPr="007C2769">
        <w:rPr>
          <w:color w:val="7F7F7F" w:themeColor="text1" w:themeTint="80"/>
        </w:rPr>
        <w:t xml:space="preserve">dan </w:t>
      </w:r>
      <w:r w:rsidRPr="007C2769">
        <w:rPr>
          <w:i/>
          <w:iCs/>
          <w:color w:val="7F7F7F" w:themeColor="text1" w:themeTint="80"/>
        </w:rPr>
        <w:t>Suluk Gatholoco</w:t>
      </w:r>
      <w:r w:rsidRPr="007C2769">
        <w:rPr>
          <w:color w:val="7F7F7F" w:themeColor="text1" w:themeTint="80"/>
        </w:rPr>
        <w:t xml:space="preserve"> yang bersifat anti-Islam dan bernada mengunggulkan Kristen.</w:t>
      </w:r>
    </w:p>
  </w:footnote>
  <w:footnote w:id="56">
    <w:p w14:paraId="044526B7" w14:textId="77777777" w:rsidR="009A5B96" w:rsidRPr="007C2769" w:rsidRDefault="009A5B96" w:rsidP="007C2769">
      <w:pPr>
        <w:pStyle w:val="FootnoteText"/>
        <w:ind w:firstLine="567"/>
        <w:jc w:val="both"/>
        <w:rPr>
          <w:rStyle w:val="FootnoteReference"/>
          <w:color w:val="7F7F7F" w:themeColor="text1" w:themeTint="80"/>
        </w:rPr>
      </w:pPr>
      <w:r w:rsidRPr="007C2769">
        <w:rPr>
          <w:rStyle w:val="FootnoteReference"/>
          <w:color w:val="7F7F7F" w:themeColor="text1" w:themeTint="80"/>
        </w:rPr>
        <w:footnoteRef/>
      </w:r>
      <w:r w:rsidRPr="007C2769">
        <w:rPr>
          <w:rStyle w:val="FootnoteReference"/>
          <w:color w:val="7F7F7F" w:themeColor="text1" w:themeTint="80"/>
        </w:rPr>
        <w:t xml:space="preserve"> </w:t>
      </w:r>
      <w:r w:rsidRPr="007C2769">
        <w:rPr>
          <w:color w:val="7F7F7F" w:themeColor="text1" w:themeTint="80"/>
        </w:rPr>
        <w:t xml:space="preserve">Idem, </w:t>
      </w:r>
      <w:r w:rsidRPr="007C2769">
        <w:rPr>
          <w:i/>
          <w:iCs/>
          <w:color w:val="7F7F7F" w:themeColor="text1" w:themeTint="80"/>
        </w:rPr>
        <w:t>Mengislamkan Jawa</w:t>
      </w:r>
      <w:r w:rsidRPr="007C2769">
        <w:rPr>
          <w:color w:val="7F7F7F" w:themeColor="text1" w:themeTint="80"/>
        </w:rPr>
        <w:t>., hlm. 45.</w:t>
      </w:r>
    </w:p>
  </w:footnote>
  <w:footnote w:id="57">
    <w:p w14:paraId="6BEAF213" w14:textId="77777777" w:rsidR="009A5B96" w:rsidRPr="007C2769" w:rsidRDefault="009A5B96" w:rsidP="007C2769">
      <w:pPr>
        <w:pStyle w:val="FootnoteText"/>
        <w:ind w:firstLine="567"/>
        <w:jc w:val="both"/>
        <w:rPr>
          <w:rStyle w:val="FootnoteReference"/>
          <w:color w:val="7F7F7F" w:themeColor="text1" w:themeTint="80"/>
        </w:rPr>
      </w:pPr>
      <w:r w:rsidRPr="007C2769">
        <w:rPr>
          <w:rStyle w:val="FootnoteReference"/>
          <w:color w:val="7F7F7F" w:themeColor="text1" w:themeTint="80"/>
        </w:rPr>
        <w:footnoteRef/>
      </w:r>
      <w:r w:rsidRPr="007C2769">
        <w:rPr>
          <w:rStyle w:val="FootnoteReference"/>
          <w:color w:val="7F7F7F" w:themeColor="text1" w:themeTint="80"/>
        </w:rPr>
        <w:t xml:space="preserve"> </w:t>
      </w:r>
      <w:r w:rsidRPr="007C2769">
        <w:rPr>
          <w:color w:val="7F7F7F" w:themeColor="text1" w:themeTint="80"/>
        </w:rPr>
        <w:t xml:space="preserve">Di antara tokoh muda NU tahun 1970-an yang penting untuk disebut di sini adalah Kiai Abdurrahman Wahid atau Gus Dur dan Djohan Effendi, di mana keduanya saat itu masih berstatus sebagai mahasiswa. Lihat: Greg Barton, </w:t>
      </w:r>
      <w:r w:rsidRPr="007C2769">
        <w:rPr>
          <w:i/>
          <w:iCs/>
          <w:color w:val="7F7F7F" w:themeColor="text1" w:themeTint="80"/>
        </w:rPr>
        <w:t>Abdurrahman Wahid, Muslim Democrat, Indonesian President: A View from the Inside</w:t>
      </w:r>
      <w:r w:rsidRPr="007C2769">
        <w:rPr>
          <w:color w:val="7F7F7F" w:themeColor="text1" w:themeTint="80"/>
        </w:rPr>
        <w:t>, ctk. I (Australia: A UNSW Press, 2002), hlm. 198.</w:t>
      </w:r>
    </w:p>
  </w:footnote>
  <w:footnote w:id="58">
    <w:p w14:paraId="2F55BA90" w14:textId="77777777" w:rsidR="009A5B96" w:rsidRPr="007C2769" w:rsidRDefault="009A5B96" w:rsidP="007C2769">
      <w:pPr>
        <w:pStyle w:val="FootnoteText"/>
        <w:ind w:firstLine="567"/>
        <w:jc w:val="both"/>
        <w:rPr>
          <w:rStyle w:val="FootnoteReference"/>
          <w:color w:val="7F7F7F" w:themeColor="text1" w:themeTint="80"/>
        </w:rPr>
      </w:pPr>
      <w:r w:rsidRPr="007C2769">
        <w:rPr>
          <w:rStyle w:val="FootnoteReference"/>
          <w:color w:val="7F7F7F" w:themeColor="text1" w:themeTint="80"/>
        </w:rPr>
        <w:footnoteRef/>
      </w:r>
      <w:r w:rsidRPr="007C2769">
        <w:rPr>
          <w:rStyle w:val="FootnoteReference"/>
          <w:color w:val="7F7F7F" w:themeColor="text1" w:themeTint="80"/>
        </w:rPr>
        <w:t xml:space="preserve"> </w:t>
      </w:r>
      <w:r w:rsidRPr="007C2769">
        <w:rPr>
          <w:color w:val="7F7F7F" w:themeColor="text1" w:themeTint="80"/>
        </w:rPr>
        <w:t xml:space="preserve">Bruinessen, </w:t>
      </w:r>
      <w:r w:rsidRPr="007C2769">
        <w:rPr>
          <w:i/>
          <w:iCs/>
          <w:color w:val="7F7F7F" w:themeColor="text1" w:themeTint="80"/>
        </w:rPr>
        <w:t>NU: Tradisi</w:t>
      </w:r>
      <w:r w:rsidRPr="007C2769">
        <w:rPr>
          <w:color w:val="7F7F7F" w:themeColor="text1" w:themeTint="80"/>
        </w:rPr>
        <w:t>., hlm. 130-32.</w:t>
      </w:r>
    </w:p>
  </w:footnote>
  <w:footnote w:id="59">
    <w:p w14:paraId="06E3034D" w14:textId="77777777" w:rsidR="009A5B96" w:rsidRPr="007C2769" w:rsidRDefault="009A5B96" w:rsidP="007C2769">
      <w:pPr>
        <w:pStyle w:val="FootnoteText"/>
        <w:ind w:firstLine="567"/>
        <w:jc w:val="both"/>
        <w:rPr>
          <w:rStyle w:val="FootnoteReference"/>
          <w:color w:val="7F7F7F" w:themeColor="text1" w:themeTint="80"/>
        </w:rPr>
      </w:pPr>
      <w:r w:rsidRPr="007C2769">
        <w:rPr>
          <w:rStyle w:val="FootnoteReference"/>
          <w:color w:val="7F7F7F" w:themeColor="text1" w:themeTint="80"/>
        </w:rPr>
        <w:footnoteRef/>
      </w:r>
      <w:r w:rsidRPr="007C2769">
        <w:rPr>
          <w:rStyle w:val="FootnoteReference"/>
          <w:color w:val="7F7F7F" w:themeColor="text1" w:themeTint="80"/>
        </w:rPr>
        <w:t xml:space="preserve"> </w:t>
      </w:r>
      <w:r w:rsidRPr="007C2769">
        <w:rPr>
          <w:color w:val="7F7F7F" w:themeColor="text1" w:themeTint="80"/>
        </w:rPr>
        <w:t xml:space="preserve">LTN-PBNU, </w:t>
      </w:r>
      <w:r w:rsidRPr="007C2769">
        <w:rPr>
          <w:i/>
          <w:iCs/>
          <w:color w:val="7F7F7F" w:themeColor="text1" w:themeTint="80"/>
        </w:rPr>
        <w:t>Ahkamul Fuqaha</w:t>
      </w:r>
      <w:r w:rsidRPr="007C2769">
        <w:rPr>
          <w:color w:val="7F7F7F" w:themeColor="text1" w:themeTint="80"/>
        </w:rPr>
        <w:t>., hlm. 749-764.</w:t>
      </w:r>
    </w:p>
  </w:footnote>
  <w:footnote w:id="60">
    <w:p w14:paraId="4E026468" w14:textId="77777777" w:rsidR="009A5B96" w:rsidRPr="007C2769" w:rsidRDefault="009A5B96" w:rsidP="007C2769">
      <w:pPr>
        <w:pStyle w:val="FootnoteText"/>
        <w:ind w:firstLine="567"/>
        <w:jc w:val="both"/>
        <w:rPr>
          <w:rStyle w:val="FootnoteReference"/>
          <w:color w:val="7F7F7F" w:themeColor="text1" w:themeTint="80"/>
        </w:rPr>
      </w:pPr>
      <w:r w:rsidRPr="007C2769">
        <w:rPr>
          <w:rStyle w:val="FootnoteReference"/>
          <w:color w:val="7F7F7F" w:themeColor="text1" w:themeTint="80"/>
        </w:rPr>
        <w:footnoteRef/>
      </w:r>
      <w:r w:rsidRPr="007C2769">
        <w:rPr>
          <w:rStyle w:val="FootnoteReference"/>
          <w:color w:val="7F7F7F" w:themeColor="text1" w:themeTint="80"/>
        </w:rPr>
        <w:t xml:space="preserve"> </w:t>
      </w:r>
      <w:r w:rsidRPr="007C2769">
        <w:rPr>
          <w:i/>
          <w:iCs/>
          <w:color w:val="7F7F7F" w:themeColor="text1" w:themeTint="80"/>
        </w:rPr>
        <w:t>Ibid</w:t>
      </w:r>
      <w:r w:rsidRPr="007C2769">
        <w:rPr>
          <w:color w:val="7F7F7F" w:themeColor="text1" w:themeTint="80"/>
        </w:rPr>
        <w:t>., hlm. 801-804.</w:t>
      </w:r>
    </w:p>
  </w:footnote>
  <w:footnote w:id="61">
    <w:p w14:paraId="4CD2D5E7" w14:textId="77777777" w:rsidR="009A5B96" w:rsidRPr="007C2769" w:rsidRDefault="009A5B96" w:rsidP="007C2769">
      <w:pPr>
        <w:pStyle w:val="FootnoteText"/>
        <w:ind w:firstLine="567"/>
        <w:jc w:val="both"/>
        <w:rPr>
          <w:rStyle w:val="FootnoteReference"/>
          <w:color w:val="7F7F7F" w:themeColor="text1" w:themeTint="80"/>
        </w:rPr>
      </w:pPr>
      <w:r w:rsidRPr="007C2769">
        <w:rPr>
          <w:rStyle w:val="FootnoteReference"/>
          <w:color w:val="7F7F7F" w:themeColor="text1" w:themeTint="80"/>
        </w:rPr>
        <w:footnoteRef/>
      </w:r>
      <w:r w:rsidRPr="007C2769">
        <w:rPr>
          <w:rStyle w:val="FootnoteReference"/>
          <w:color w:val="7F7F7F" w:themeColor="text1" w:themeTint="80"/>
        </w:rPr>
        <w:t xml:space="preserve"> </w:t>
      </w:r>
      <w:r w:rsidRPr="007C2769">
        <w:rPr>
          <w:i/>
          <w:iCs/>
          <w:color w:val="7F7F7F" w:themeColor="text1" w:themeTint="80"/>
        </w:rPr>
        <w:t>Ibid</w:t>
      </w:r>
      <w:r w:rsidRPr="007C2769">
        <w:rPr>
          <w:color w:val="7F7F7F" w:themeColor="text1" w:themeTint="80"/>
        </w:rPr>
        <w:t>., hlm. 856-857.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080" w:type="dxa"/>
      <w:tblLook w:val="04A0" w:firstRow="1" w:lastRow="0" w:firstColumn="1" w:lastColumn="0" w:noHBand="0" w:noVBand="1"/>
    </w:tblPr>
    <w:tblGrid>
      <w:gridCol w:w="426"/>
      <w:gridCol w:w="7654"/>
    </w:tblGrid>
    <w:tr w:rsidR="00B85B9C" w:rsidRPr="00F04A41" w14:paraId="1037D027" w14:textId="77777777" w:rsidTr="001916FB">
      <w:tc>
        <w:tcPr>
          <w:tcW w:w="426" w:type="dxa"/>
          <w:shd w:val="clear" w:color="auto" w:fill="auto"/>
        </w:tcPr>
        <w:p w14:paraId="60EE9645" w14:textId="77777777" w:rsidR="00B85B9C" w:rsidRPr="00F04A41" w:rsidRDefault="00B85B9C" w:rsidP="00F04A41">
          <w:pPr>
            <w:pStyle w:val="Footer"/>
            <w:ind w:right="-270" w:hanging="108"/>
            <w:rPr>
              <w:color w:val="808080"/>
              <w:sz w:val="20"/>
              <w:szCs w:val="20"/>
              <w:lang w:val="en-US"/>
            </w:rPr>
          </w:pPr>
          <w:r w:rsidRPr="00F04A41">
            <w:rPr>
              <w:sz w:val="20"/>
              <w:szCs w:val="20"/>
            </w:rPr>
            <w:fldChar w:fldCharType="begin"/>
          </w:r>
          <w:r w:rsidRPr="00F04A41">
            <w:rPr>
              <w:sz w:val="20"/>
              <w:szCs w:val="20"/>
            </w:rPr>
            <w:instrText xml:space="preserve"> PAGE   \* MERGEFORMAT </w:instrText>
          </w:r>
          <w:r w:rsidRPr="00F04A41">
            <w:rPr>
              <w:sz w:val="20"/>
              <w:szCs w:val="20"/>
            </w:rPr>
            <w:fldChar w:fldCharType="separate"/>
          </w:r>
          <w:r>
            <w:rPr>
              <w:noProof/>
              <w:sz w:val="20"/>
              <w:szCs w:val="20"/>
            </w:rPr>
            <w:t>24</w:t>
          </w:r>
          <w:r w:rsidRPr="00F04A41">
            <w:rPr>
              <w:noProof/>
              <w:sz w:val="20"/>
              <w:szCs w:val="20"/>
            </w:rPr>
            <w:fldChar w:fldCharType="end"/>
          </w:r>
        </w:p>
      </w:tc>
      <w:tc>
        <w:tcPr>
          <w:tcW w:w="7654" w:type="dxa"/>
          <w:shd w:val="clear" w:color="auto" w:fill="auto"/>
        </w:tcPr>
        <w:p w14:paraId="3C07BF04" w14:textId="054DCD0C" w:rsidR="00B85B9C" w:rsidRPr="00F04A41" w:rsidRDefault="007C2769" w:rsidP="0086579C">
          <w:pPr>
            <w:pStyle w:val="Footer"/>
            <w:ind w:right="-108"/>
            <w:jc w:val="right"/>
            <w:rPr>
              <w:color w:val="808080"/>
              <w:sz w:val="20"/>
              <w:szCs w:val="20"/>
              <w:lang w:val="en-US"/>
            </w:rPr>
          </w:pPr>
          <w:r>
            <w:rPr>
              <w:bCs/>
              <w:color w:val="808080"/>
              <w:sz w:val="20"/>
              <w:szCs w:val="20"/>
              <w:lang w:val="en-US"/>
            </w:rPr>
            <w:t xml:space="preserve">Muhammad </w:t>
          </w:r>
          <w:proofErr w:type="spellStart"/>
          <w:r>
            <w:rPr>
              <w:bCs/>
              <w:color w:val="808080"/>
              <w:sz w:val="20"/>
              <w:szCs w:val="20"/>
              <w:lang w:val="en-US"/>
            </w:rPr>
            <w:t>Adib</w:t>
          </w:r>
          <w:proofErr w:type="spellEnd"/>
          <w:r>
            <w:rPr>
              <w:bCs/>
              <w:color w:val="808080"/>
              <w:sz w:val="20"/>
              <w:szCs w:val="20"/>
              <w:lang w:val="en-US"/>
            </w:rPr>
            <w:t xml:space="preserve">, Muhammad </w:t>
          </w:r>
          <w:proofErr w:type="spellStart"/>
          <w:r>
            <w:rPr>
              <w:bCs/>
              <w:color w:val="808080"/>
              <w:sz w:val="20"/>
              <w:szCs w:val="20"/>
              <w:lang w:val="en-US"/>
            </w:rPr>
            <w:t>Hasbulloh</w:t>
          </w:r>
          <w:proofErr w:type="spellEnd"/>
          <w:r>
            <w:rPr>
              <w:bCs/>
              <w:color w:val="808080"/>
              <w:sz w:val="20"/>
              <w:szCs w:val="20"/>
              <w:lang w:val="en-US"/>
            </w:rPr>
            <w:t xml:space="preserve"> Huda</w:t>
          </w:r>
        </w:p>
      </w:tc>
    </w:tr>
  </w:tbl>
  <w:p w14:paraId="48391786" w14:textId="77777777" w:rsidR="00B85B9C" w:rsidRPr="00F04A41" w:rsidRDefault="00B85B9C">
    <w:pPr>
      <w:pStyle w:val="Head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222" w:type="dxa"/>
      <w:tblInd w:w="-34" w:type="dxa"/>
      <w:tblLook w:val="04A0" w:firstRow="1" w:lastRow="0" w:firstColumn="1" w:lastColumn="0" w:noHBand="0" w:noVBand="1"/>
    </w:tblPr>
    <w:tblGrid>
      <w:gridCol w:w="7508"/>
      <w:gridCol w:w="714"/>
    </w:tblGrid>
    <w:tr w:rsidR="00B85B9C" w:rsidRPr="00F04A41" w14:paraId="63A4FE1C" w14:textId="77777777" w:rsidTr="00E32B21">
      <w:tc>
        <w:tcPr>
          <w:tcW w:w="7508" w:type="dxa"/>
          <w:shd w:val="clear" w:color="auto" w:fill="auto"/>
        </w:tcPr>
        <w:p w14:paraId="41CC2C37" w14:textId="6B75AFF0" w:rsidR="007C2769" w:rsidRPr="007C2769" w:rsidRDefault="007C2769" w:rsidP="007C2769">
          <w:pPr>
            <w:pStyle w:val="Footer"/>
            <w:ind w:left="-74" w:right="-270"/>
            <w:rPr>
              <w:rFonts w:ascii="Noto Sans" w:hAnsi="Noto Sans"/>
              <w:i/>
              <w:iCs/>
              <w:color w:val="808080"/>
              <w:sz w:val="16"/>
              <w:szCs w:val="16"/>
              <w:lang w:val="en-US"/>
            </w:rPr>
          </w:pPr>
          <w:proofErr w:type="spellStart"/>
          <w:r w:rsidRPr="007C2769">
            <w:rPr>
              <w:rFonts w:ascii="Noto Sans" w:hAnsi="Noto Sans"/>
              <w:i/>
              <w:iCs/>
              <w:color w:val="808080"/>
              <w:sz w:val="16"/>
              <w:szCs w:val="16"/>
              <w:lang w:val="en-US"/>
            </w:rPr>
            <w:t>Relasi</w:t>
          </w:r>
          <w:proofErr w:type="spellEnd"/>
          <w:r w:rsidRPr="007C2769">
            <w:rPr>
              <w:rFonts w:ascii="Noto Sans" w:hAnsi="Noto Sans"/>
              <w:i/>
              <w:iCs/>
              <w:color w:val="808080"/>
              <w:sz w:val="16"/>
              <w:szCs w:val="16"/>
              <w:lang w:val="en-US"/>
            </w:rPr>
            <w:t xml:space="preserve"> </w:t>
          </w:r>
          <w:proofErr w:type="spellStart"/>
          <w:r w:rsidRPr="007C2769">
            <w:rPr>
              <w:rFonts w:ascii="Noto Sans" w:hAnsi="Noto Sans"/>
              <w:i/>
              <w:iCs/>
              <w:color w:val="808080"/>
              <w:sz w:val="16"/>
              <w:szCs w:val="16"/>
              <w:lang w:val="en-US"/>
            </w:rPr>
            <w:t>Dinamis</w:t>
          </w:r>
          <w:proofErr w:type="spellEnd"/>
          <w:r w:rsidRPr="007C2769">
            <w:rPr>
              <w:rFonts w:ascii="Noto Sans" w:hAnsi="Noto Sans"/>
              <w:i/>
              <w:iCs/>
              <w:color w:val="808080"/>
              <w:sz w:val="16"/>
              <w:szCs w:val="16"/>
              <w:lang w:val="en-US"/>
            </w:rPr>
            <w:t xml:space="preserve"> </w:t>
          </w:r>
          <w:proofErr w:type="spellStart"/>
          <w:r w:rsidRPr="007C2769">
            <w:rPr>
              <w:rFonts w:ascii="Noto Sans" w:hAnsi="Noto Sans"/>
              <w:i/>
              <w:iCs/>
              <w:color w:val="808080"/>
              <w:sz w:val="16"/>
              <w:szCs w:val="16"/>
              <w:lang w:val="en-US"/>
            </w:rPr>
            <w:t>Trilogi</w:t>
          </w:r>
          <w:proofErr w:type="spellEnd"/>
          <w:r w:rsidRPr="007C2769">
            <w:rPr>
              <w:rFonts w:ascii="Noto Sans" w:hAnsi="Noto Sans"/>
              <w:i/>
              <w:iCs/>
              <w:color w:val="808080"/>
              <w:sz w:val="16"/>
              <w:szCs w:val="16"/>
              <w:lang w:val="en-US"/>
            </w:rPr>
            <w:t xml:space="preserve"> </w:t>
          </w:r>
          <w:proofErr w:type="spellStart"/>
          <w:r w:rsidRPr="007C2769">
            <w:rPr>
              <w:rFonts w:ascii="Noto Sans" w:hAnsi="Noto Sans"/>
              <w:i/>
              <w:iCs/>
              <w:color w:val="808080"/>
              <w:sz w:val="16"/>
              <w:szCs w:val="16"/>
              <w:lang w:val="en-US"/>
            </w:rPr>
            <w:t>Metode</w:t>
          </w:r>
          <w:proofErr w:type="spellEnd"/>
          <w:r w:rsidRPr="007C2769">
            <w:rPr>
              <w:rFonts w:ascii="Noto Sans" w:hAnsi="Noto Sans"/>
              <w:i/>
              <w:iCs/>
              <w:color w:val="808080"/>
              <w:sz w:val="16"/>
              <w:szCs w:val="16"/>
              <w:lang w:val="en-US"/>
            </w:rPr>
            <w:t xml:space="preserve"> </w:t>
          </w:r>
          <w:proofErr w:type="spellStart"/>
          <w:r w:rsidRPr="007C2769">
            <w:rPr>
              <w:rFonts w:ascii="Noto Sans" w:hAnsi="Noto Sans"/>
              <w:i/>
              <w:iCs/>
              <w:color w:val="808080"/>
              <w:sz w:val="16"/>
              <w:szCs w:val="16"/>
              <w:lang w:val="en-US"/>
            </w:rPr>
            <w:t>Istinbāth</w:t>
          </w:r>
          <w:proofErr w:type="spellEnd"/>
          <w:r w:rsidRPr="007C2769">
            <w:rPr>
              <w:rFonts w:ascii="Noto Sans" w:hAnsi="Noto Sans"/>
              <w:i/>
              <w:iCs/>
              <w:color w:val="808080"/>
              <w:sz w:val="16"/>
              <w:szCs w:val="16"/>
              <w:lang w:val="en-US"/>
            </w:rPr>
            <w:t xml:space="preserve"> </w:t>
          </w:r>
        </w:p>
        <w:p w14:paraId="5C0E5270" w14:textId="0A4D84DE" w:rsidR="00B85B9C" w:rsidRPr="00345A8D" w:rsidRDefault="007C2769" w:rsidP="007C2769">
          <w:pPr>
            <w:pStyle w:val="Footer"/>
            <w:ind w:left="-74" w:right="-270"/>
            <w:rPr>
              <w:rFonts w:ascii="Noto Sans" w:hAnsi="Noto Sans"/>
              <w:color w:val="808080"/>
              <w:sz w:val="16"/>
              <w:szCs w:val="16"/>
            </w:rPr>
          </w:pPr>
          <w:proofErr w:type="spellStart"/>
          <w:r w:rsidRPr="007C2769">
            <w:rPr>
              <w:rFonts w:ascii="Noto Sans" w:hAnsi="Noto Sans"/>
              <w:i/>
              <w:iCs/>
              <w:color w:val="808080"/>
              <w:sz w:val="16"/>
              <w:szCs w:val="16"/>
              <w:lang w:val="en-US"/>
            </w:rPr>
            <w:t>dalam</w:t>
          </w:r>
          <w:proofErr w:type="spellEnd"/>
          <w:r w:rsidRPr="007C2769">
            <w:rPr>
              <w:rFonts w:ascii="Noto Sans" w:hAnsi="Noto Sans"/>
              <w:i/>
              <w:iCs/>
              <w:color w:val="808080"/>
              <w:sz w:val="16"/>
              <w:szCs w:val="16"/>
              <w:lang w:val="en-US"/>
            </w:rPr>
            <w:t xml:space="preserve"> </w:t>
          </w:r>
          <w:proofErr w:type="spellStart"/>
          <w:r w:rsidRPr="007C2769">
            <w:rPr>
              <w:rFonts w:ascii="Noto Sans" w:hAnsi="Noto Sans"/>
              <w:i/>
              <w:iCs/>
              <w:color w:val="808080"/>
              <w:sz w:val="16"/>
              <w:szCs w:val="16"/>
              <w:lang w:val="en-US"/>
            </w:rPr>
            <w:t>Bahtsul</w:t>
          </w:r>
          <w:proofErr w:type="spellEnd"/>
          <w:r w:rsidRPr="007C2769">
            <w:rPr>
              <w:rFonts w:ascii="Noto Sans" w:hAnsi="Noto Sans"/>
              <w:i/>
              <w:iCs/>
              <w:color w:val="808080"/>
              <w:sz w:val="16"/>
              <w:szCs w:val="16"/>
              <w:lang w:val="en-US"/>
            </w:rPr>
            <w:t xml:space="preserve"> </w:t>
          </w:r>
          <w:proofErr w:type="spellStart"/>
          <w:r w:rsidRPr="007C2769">
            <w:rPr>
              <w:rFonts w:ascii="Noto Sans" w:hAnsi="Noto Sans"/>
              <w:i/>
              <w:iCs/>
              <w:color w:val="808080"/>
              <w:sz w:val="16"/>
              <w:szCs w:val="16"/>
              <w:lang w:val="en-US"/>
            </w:rPr>
            <w:t>Masail</w:t>
          </w:r>
          <w:proofErr w:type="spellEnd"/>
          <w:r w:rsidRPr="007C2769">
            <w:rPr>
              <w:rFonts w:ascii="Noto Sans" w:hAnsi="Noto Sans"/>
              <w:i/>
              <w:iCs/>
              <w:color w:val="808080"/>
              <w:sz w:val="16"/>
              <w:szCs w:val="16"/>
              <w:lang w:val="en-US"/>
            </w:rPr>
            <w:t xml:space="preserve"> NU</w:t>
          </w:r>
        </w:p>
      </w:tc>
      <w:tc>
        <w:tcPr>
          <w:tcW w:w="714" w:type="dxa"/>
          <w:shd w:val="clear" w:color="auto" w:fill="auto"/>
        </w:tcPr>
        <w:p w14:paraId="2C7D72AC" w14:textId="77777777" w:rsidR="00B85B9C" w:rsidRPr="00F04A41" w:rsidRDefault="00B85B9C" w:rsidP="00F04A41">
          <w:pPr>
            <w:pStyle w:val="Footer"/>
            <w:ind w:right="-99"/>
            <w:jc w:val="right"/>
            <w:rPr>
              <w:rFonts w:ascii="Noto Sans" w:hAnsi="Noto Sans"/>
              <w:sz w:val="16"/>
              <w:szCs w:val="16"/>
              <w:lang w:val="en-US"/>
            </w:rPr>
          </w:pPr>
          <w:r w:rsidRPr="00F04A41">
            <w:rPr>
              <w:rFonts w:ascii="Noto Sans" w:hAnsi="Noto Sans"/>
              <w:sz w:val="16"/>
              <w:szCs w:val="16"/>
            </w:rPr>
            <w:fldChar w:fldCharType="begin"/>
          </w:r>
          <w:r w:rsidRPr="00F04A41">
            <w:rPr>
              <w:rFonts w:ascii="Noto Sans" w:hAnsi="Noto Sans"/>
              <w:sz w:val="16"/>
              <w:szCs w:val="16"/>
            </w:rPr>
            <w:instrText xml:space="preserve"> PAGE   \* MERGEFORMAT </w:instrText>
          </w:r>
          <w:r w:rsidRPr="00F04A41">
            <w:rPr>
              <w:rFonts w:ascii="Noto Sans" w:hAnsi="Noto Sans"/>
              <w:sz w:val="16"/>
              <w:szCs w:val="16"/>
            </w:rPr>
            <w:fldChar w:fldCharType="separate"/>
          </w:r>
          <w:r>
            <w:rPr>
              <w:rFonts w:ascii="Noto Sans" w:hAnsi="Noto Sans"/>
              <w:noProof/>
              <w:sz w:val="16"/>
              <w:szCs w:val="16"/>
            </w:rPr>
            <w:t>25</w:t>
          </w:r>
          <w:r w:rsidRPr="00F04A41">
            <w:rPr>
              <w:rFonts w:ascii="Noto Sans" w:hAnsi="Noto Sans"/>
              <w:noProof/>
              <w:sz w:val="16"/>
              <w:szCs w:val="16"/>
            </w:rPr>
            <w:fldChar w:fldCharType="end"/>
          </w:r>
        </w:p>
      </w:tc>
    </w:tr>
  </w:tbl>
  <w:p w14:paraId="072082DE" w14:textId="77777777" w:rsidR="00B85B9C" w:rsidRDefault="00B85B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hybridMultilevel"/>
    <w:tmpl w:val="519B500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D"/>
    <w:multiLevelType w:val="hybridMultilevel"/>
    <w:tmpl w:val="436C612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F"/>
    <w:multiLevelType w:val="hybridMultilevel"/>
    <w:tmpl w:val="D464B834"/>
    <w:lvl w:ilvl="0" w:tplc="04210011">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0"/>
    <w:multiLevelType w:val="hybridMultilevel"/>
    <w:tmpl w:val="721DA31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1"/>
    <w:multiLevelType w:val="hybridMultilevel"/>
    <w:tmpl w:val="2443A85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3"/>
    <w:multiLevelType w:val="hybridMultilevel"/>
    <w:tmpl w:val="6763845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14"/>
    <w:multiLevelType w:val="hybridMultilevel"/>
    <w:tmpl w:val="75A2A8D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5"/>
    <w:multiLevelType w:val="hybridMultilevel"/>
    <w:tmpl w:val="08EDBD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6"/>
    <w:multiLevelType w:val="hybridMultilevel"/>
    <w:tmpl w:val="79838CB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7"/>
    <w:multiLevelType w:val="hybridMultilevel"/>
    <w:tmpl w:val="5024C67A"/>
    <w:lvl w:ilvl="0" w:tplc="04090011">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8"/>
    <w:multiLevelType w:val="hybridMultilevel"/>
    <w:tmpl w:val="0B03E0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617F5"/>
    <w:multiLevelType w:val="hybridMultilevel"/>
    <w:tmpl w:val="6DE2F640"/>
    <w:lvl w:ilvl="0" w:tplc="38090011">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EF08CF"/>
    <w:multiLevelType w:val="hybridMultilevel"/>
    <w:tmpl w:val="4260AA0C"/>
    <w:lvl w:ilvl="0" w:tplc="576A0020">
      <w:start w:val="1"/>
      <w:numFmt w:val="upperLetter"/>
      <w:lvlText w:val="%1."/>
      <w:lvlJc w:val="left"/>
      <w:pPr>
        <w:ind w:left="510" w:hanging="397"/>
        <w:jc w:val="right"/>
      </w:pPr>
      <w:rPr>
        <w:rFonts w:ascii="Palatino Linotype" w:eastAsia="Palatino Linotype" w:hAnsi="Palatino Linotype" w:cs="Palatino Linotype" w:hint="default"/>
        <w:b/>
        <w:bCs/>
        <w:color w:val="231F20"/>
        <w:spacing w:val="-30"/>
        <w:w w:val="100"/>
        <w:sz w:val="24"/>
        <w:szCs w:val="24"/>
      </w:rPr>
    </w:lvl>
    <w:lvl w:ilvl="1" w:tplc="2B6C2CBE">
      <w:start w:val="1"/>
      <w:numFmt w:val="decimal"/>
      <w:lvlText w:val="%2."/>
      <w:lvlJc w:val="left"/>
      <w:pPr>
        <w:ind w:left="1077" w:hanging="397"/>
      </w:pPr>
      <w:rPr>
        <w:rFonts w:ascii="Palatino Linotype" w:eastAsia="Palatino Linotype" w:hAnsi="Palatino Linotype" w:cs="Palatino Linotype" w:hint="default"/>
        <w:color w:val="231F20"/>
        <w:spacing w:val="-24"/>
        <w:w w:val="100"/>
        <w:sz w:val="24"/>
        <w:szCs w:val="24"/>
      </w:rPr>
    </w:lvl>
    <w:lvl w:ilvl="2" w:tplc="38090011">
      <w:start w:val="1"/>
      <w:numFmt w:val="decimal"/>
      <w:lvlText w:val="%3)"/>
      <w:lvlJc w:val="left"/>
      <w:pPr>
        <w:ind w:left="1456" w:hanging="397"/>
      </w:pPr>
      <w:rPr>
        <w:rFonts w:hint="default"/>
      </w:rPr>
    </w:lvl>
    <w:lvl w:ilvl="3" w:tplc="2B4A0E70">
      <w:numFmt w:val="bullet"/>
      <w:lvlText w:val="•"/>
      <w:lvlJc w:val="left"/>
      <w:pPr>
        <w:ind w:left="1832" w:hanging="397"/>
      </w:pPr>
      <w:rPr>
        <w:rFonts w:hint="default"/>
      </w:rPr>
    </w:lvl>
    <w:lvl w:ilvl="4" w:tplc="3C66949A">
      <w:numFmt w:val="bullet"/>
      <w:lvlText w:val="•"/>
      <w:lvlJc w:val="left"/>
      <w:pPr>
        <w:ind w:left="2208" w:hanging="397"/>
      </w:pPr>
      <w:rPr>
        <w:rFonts w:hint="default"/>
      </w:rPr>
    </w:lvl>
    <w:lvl w:ilvl="5" w:tplc="675E0F36">
      <w:numFmt w:val="bullet"/>
      <w:lvlText w:val="•"/>
      <w:lvlJc w:val="left"/>
      <w:pPr>
        <w:ind w:left="2584" w:hanging="397"/>
      </w:pPr>
      <w:rPr>
        <w:rFonts w:hint="default"/>
      </w:rPr>
    </w:lvl>
    <w:lvl w:ilvl="6" w:tplc="C6D42BCA">
      <w:numFmt w:val="bullet"/>
      <w:lvlText w:val="•"/>
      <w:lvlJc w:val="left"/>
      <w:pPr>
        <w:ind w:left="2960" w:hanging="397"/>
      </w:pPr>
      <w:rPr>
        <w:rFonts w:hint="default"/>
      </w:rPr>
    </w:lvl>
    <w:lvl w:ilvl="7" w:tplc="5E5A044E">
      <w:numFmt w:val="bullet"/>
      <w:lvlText w:val="•"/>
      <w:lvlJc w:val="left"/>
      <w:pPr>
        <w:ind w:left="3336" w:hanging="397"/>
      </w:pPr>
      <w:rPr>
        <w:rFonts w:hint="default"/>
      </w:rPr>
    </w:lvl>
    <w:lvl w:ilvl="8" w:tplc="66ECF936">
      <w:numFmt w:val="bullet"/>
      <w:lvlText w:val="•"/>
      <w:lvlJc w:val="left"/>
      <w:pPr>
        <w:ind w:left="3712" w:hanging="397"/>
      </w:pPr>
      <w:rPr>
        <w:rFonts w:hint="default"/>
      </w:rPr>
    </w:lvl>
  </w:abstractNum>
  <w:abstractNum w:abstractNumId="13" w15:restartNumberingAfterBreak="0">
    <w:nsid w:val="05582192"/>
    <w:multiLevelType w:val="hybridMultilevel"/>
    <w:tmpl w:val="4392A904"/>
    <w:lvl w:ilvl="0" w:tplc="04090011">
      <w:start w:val="1"/>
      <w:numFmt w:val="decimal"/>
      <w:lvlText w:val="%1)"/>
      <w:lvlJc w:val="left"/>
      <w:pPr>
        <w:ind w:left="2008" w:hanging="360"/>
      </w:pPr>
      <w:rPr>
        <w:rFonts w:hint="default"/>
        <w:spacing w:val="-5"/>
        <w:w w:val="99"/>
        <w:sz w:val="24"/>
        <w:szCs w:val="24"/>
      </w:rPr>
    </w:lvl>
    <w:lvl w:ilvl="1" w:tplc="04090017">
      <w:start w:val="1"/>
      <w:numFmt w:val="lowerLetter"/>
      <w:lvlText w:val="%2)"/>
      <w:lvlJc w:val="left"/>
      <w:pPr>
        <w:ind w:left="2368" w:hanging="360"/>
      </w:pPr>
      <w:rPr>
        <w:rFonts w:hint="default"/>
        <w:spacing w:val="-2"/>
        <w:w w:val="99"/>
        <w:sz w:val="24"/>
        <w:szCs w:val="24"/>
      </w:rPr>
    </w:lvl>
    <w:lvl w:ilvl="2" w:tplc="301C05F4">
      <w:numFmt w:val="bullet"/>
      <w:lvlText w:val="•"/>
      <w:lvlJc w:val="left"/>
      <w:pPr>
        <w:ind w:left="3162" w:hanging="360"/>
      </w:pPr>
      <w:rPr>
        <w:rFonts w:hint="default"/>
      </w:rPr>
    </w:lvl>
    <w:lvl w:ilvl="3" w:tplc="B0DA1698">
      <w:numFmt w:val="bullet"/>
      <w:lvlText w:val="•"/>
      <w:lvlJc w:val="left"/>
      <w:pPr>
        <w:ind w:left="3964" w:hanging="360"/>
      </w:pPr>
      <w:rPr>
        <w:rFonts w:hint="default"/>
      </w:rPr>
    </w:lvl>
    <w:lvl w:ilvl="4" w:tplc="4E2C5E6C">
      <w:numFmt w:val="bullet"/>
      <w:lvlText w:val="•"/>
      <w:lvlJc w:val="left"/>
      <w:pPr>
        <w:ind w:left="4767" w:hanging="360"/>
      </w:pPr>
      <w:rPr>
        <w:rFonts w:hint="default"/>
      </w:rPr>
    </w:lvl>
    <w:lvl w:ilvl="5" w:tplc="CE16C990">
      <w:numFmt w:val="bullet"/>
      <w:lvlText w:val="•"/>
      <w:lvlJc w:val="left"/>
      <w:pPr>
        <w:ind w:left="5569" w:hanging="360"/>
      </w:pPr>
      <w:rPr>
        <w:rFonts w:hint="default"/>
      </w:rPr>
    </w:lvl>
    <w:lvl w:ilvl="6" w:tplc="4E7AFC94">
      <w:numFmt w:val="bullet"/>
      <w:lvlText w:val="•"/>
      <w:lvlJc w:val="left"/>
      <w:pPr>
        <w:ind w:left="6372" w:hanging="360"/>
      </w:pPr>
      <w:rPr>
        <w:rFonts w:hint="default"/>
      </w:rPr>
    </w:lvl>
    <w:lvl w:ilvl="7" w:tplc="59184A8C">
      <w:numFmt w:val="bullet"/>
      <w:lvlText w:val="•"/>
      <w:lvlJc w:val="left"/>
      <w:pPr>
        <w:ind w:left="7174" w:hanging="360"/>
      </w:pPr>
      <w:rPr>
        <w:rFonts w:hint="default"/>
      </w:rPr>
    </w:lvl>
    <w:lvl w:ilvl="8" w:tplc="2AD22F16">
      <w:numFmt w:val="bullet"/>
      <w:lvlText w:val="•"/>
      <w:lvlJc w:val="left"/>
      <w:pPr>
        <w:ind w:left="7977" w:hanging="360"/>
      </w:pPr>
      <w:rPr>
        <w:rFonts w:hint="default"/>
      </w:rPr>
    </w:lvl>
  </w:abstractNum>
  <w:abstractNum w:abstractNumId="14" w15:restartNumberingAfterBreak="0">
    <w:nsid w:val="11813A75"/>
    <w:multiLevelType w:val="hybridMultilevel"/>
    <w:tmpl w:val="D0F85934"/>
    <w:lvl w:ilvl="0" w:tplc="04090011">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1388793B"/>
    <w:multiLevelType w:val="multilevel"/>
    <w:tmpl w:val="B89245B6"/>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lang w:val="id-ID"/>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49377C7"/>
    <w:multiLevelType w:val="hybridMultilevel"/>
    <w:tmpl w:val="D720906A"/>
    <w:lvl w:ilvl="0" w:tplc="04210019">
      <w:start w:val="1"/>
      <w:numFmt w:val="lowerLetter"/>
      <w:lvlText w:val="%1."/>
      <w:lvlJc w:val="left"/>
      <w:pPr>
        <w:ind w:left="1856" w:hanging="360"/>
      </w:pPr>
    </w:lvl>
    <w:lvl w:ilvl="1" w:tplc="04210019" w:tentative="1">
      <w:start w:val="1"/>
      <w:numFmt w:val="lowerLetter"/>
      <w:lvlText w:val="%2."/>
      <w:lvlJc w:val="left"/>
      <w:pPr>
        <w:ind w:left="2576" w:hanging="360"/>
      </w:pPr>
    </w:lvl>
    <w:lvl w:ilvl="2" w:tplc="0421001B" w:tentative="1">
      <w:start w:val="1"/>
      <w:numFmt w:val="lowerRoman"/>
      <w:lvlText w:val="%3."/>
      <w:lvlJc w:val="right"/>
      <w:pPr>
        <w:ind w:left="3296" w:hanging="180"/>
      </w:pPr>
    </w:lvl>
    <w:lvl w:ilvl="3" w:tplc="0421000F" w:tentative="1">
      <w:start w:val="1"/>
      <w:numFmt w:val="decimal"/>
      <w:lvlText w:val="%4."/>
      <w:lvlJc w:val="left"/>
      <w:pPr>
        <w:ind w:left="4016" w:hanging="360"/>
      </w:pPr>
    </w:lvl>
    <w:lvl w:ilvl="4" w:tplc="04210019" w:tentative="1">
      <w:start w:val="1"/>
      <w:numFmt w:val="lowerLetter"/>
      <w:lvlText w:val="%5."/>
      <w:lvlJc w:val="left"/>
      <w:pPr>
        <w:ind w:left="4736" w:hanging="360"/>
      </w:pPr>
    </w:lvl>
    <w:lvl w:ilvl="5" w:tplc="0421001B" w:tentative="1">
      <w:start w:val="1"/>
      <w:numFmt w:val="lowerRoman"/>
      <w:lvlText w:val="%6."/>
      <w:lvlJc w:val="right"/>
      <w:pPr>
        <w:ind w:left="5456" w:hanging="180"/>
      </w:pPr>
    </w:lvl>
    <w:lvl w:ilvl="6" w:tplc="0421000F" w:tentative="1">
      <w:start w:val="1"/>
      <w:numFmt w:val="decimal"/>
      <w:lvlText w:val="%7."/>
      <w:lvlJc w:val="left"/>
      <w:pPr>
        <w:ind w:left="6176" w:hanging="360"/>
      </w:pPr>
    </w:lvl>
    <w:lvl w:ilvl="7" w:tplc="04210019" w:tentative="1">
      <w:start w:val="1"/>
      <w:numFmt w:val="lowerLetter"/>
      <w:lvlText w:val="%8."/>
      <w:lvlJc w:val="left"/>
      <w:pPr>
        <w:ind w:left="6896" w:hanging="360"/>
      </w:pPr>
    </w:lvl>
    <w:lvl w:ilvl="8" w:tplc="0421001B" w:tentative="1">
      <w:start w:val="1"/>
      <w:numFmt w:val="lowerRoman"/>
      <w:lvlText w:val="%9."/>
      <w:lvlJc w:val="right"/>
      <w:pPr>
        <w:ind w:left="7616" w:hanging="180"/>
      </w:pPr>
    </w:lvl>
  </w:abstractNum>
  <w:abstractNum w:abstractNumId="17" w15:restartNumberingAfterBreak="0">
    <w:nsid w:val="21ED3D42"/>
    <w:multiLevelType w:val="hybridMultilevel"/>
    <w:tmpl w:val="BD8C428E"/>
    <w:lvl w:ilvl="0" w:tplc="576A0020">
      <w:start w:val="1"/>
      <w:numFmt w:val="upperLetter"/>
      <w:lvlText w:val="%1."/>
      <w:lvlJc w:val="left"/>
      <w:pPr>
        <w:ind w:left="510" w:hanging="397"/>
        <w:jc w:val="right"/>
      </w:pPr>
      <w:rPr>
        <w:rFonts w:ascii="Palatino Linotype" w:eastAsia="Palatino Linotype" w:hAnsi="Palatino Linotype" w:cs="Palatino Linotype" w:hint="default"/>
        <w:b/>
        <w:bCs/>
        <w:color w:val="231F20"/>
        <w:spacing w:val="-30"/>
        <w:w w:val="100"/>
        <w:sz w:val="24"/>
        <w:szCs w:val="24"/>
      </w:rPr>
    </w:lvl>
    <w:lvl w:ilvl="1" w:tplc="04090019">
      <w:start w:val="1"/>
      <w:numFmt w:val="lowerLetter"/>
      <w:lvlText w:val="%2."/>
      <w:lvlJc w:val="left"/>
      <w:pPr>
        <w:ind w:left="1077" w:hanging="397"/>
      </w:pPr>
      <w:rPr>
        <w:rFonts w:hint="default"/>
        <w:color w:val="231F20"/>
        <w:spacing w:val="-24"/>
        <w:w w:val="100"/>
        <w:sz w:val="24"/>
        <w:szCs w:val="24"/>
      </w:rPr>
    </w:lvl>
    <w:lvl w:ilvl="2" w:tplc="F3603B80">
      <w:numFmt w:val="bullet"/>
      <w:lvlText w:val="•"/>
      <w:lvlJc w:val="left"/>
      <w:pPr>
        <w:ind w:left="1456" w:hanging="397"/>
      </w:pPr>
      <w:rPr>
        <w:rFonts w:hint="default"/>
      </w:rPr>
    </w:lvl>
    <w:lvl w:ilvl="3" w:tplc="2B4A0E70">
      <w:numFmt w:val="bullet"/>
      <w:lvlText w:val="•"/>
      <w:lvlJc w:val="left"/>
      <w:pPr>
        <w:ind w:left="1832" w:hanging="397"/>
      </w:pPr>
      <w:rPr>
        <w:rFonts w:hint="default"/>
      </w:rPr>
    </w:lvl>
    <w:lvl w:ilvl="4" w:tplc="3C66949A">
      <w:numFmt w:val="bullet"/>
      <w:lvlText w:val="•"/>
      <w:lvlJc w:val="left"/>
      <w:pPr>
        <w:ind w:left="2208" w:hanging="397"/>
      </w:pPr>
      <w:rPr>
        <w:rFonts w:hint="default"/>
      </w:rPr>
    </w:lvl>
    <w:lvl w:ilvl="5" w:tplc="675E0F36">
      <w:numFmt w:val="bullet"/>
      <w:lvlText w:val="•"/>
      <w:lvlJc w:val="left"/>
      <w:pPr>
        <w:ind w:left="2584" w:hanging="397"/>
      </w:pPr>
      <w:rPr>
        <w:rFonts w:hint="default"/>
      </w:rPr>
    </w:lvl>
    <w:lvl w:ilvl="6" w:tplc="C6D42BCA">
      <w:numFmt w:val="bullet"/>
      <w:lvlText w:val="•"/>
      <w:lvlJc w:val="left"/>
      <w:pPr>
        <w:ind w:left="2960" w:hanging="397"/>
      </w:pPr>
      <w:rPr>
        <w:rFonts w:hint="default"/>
      </w:rPr>
    </w:lvl>
    <w:lvl w:ilvl="7" w:tplc="5E5A044E">
      <w:numFmt w:val="bullet"/>
      <w:lvlText w:val="•"/>
      <w:lvlJc w:val="left"/>
      <w:pPr>
        <w:ind w:left="3336" w:hanging="397"/>
      </w:pPr>
      <w:rPr>
        <w:rFonts w:hint="default"/>
      </w:rPr>
    </w:lvl>
    <w:lvl w:ilvl="8" w:tplc="66ECF936">
      <w:numFmt w:val="bullet"/>
      <w:lvlText w:val="•"/>
      <w:lvlJc w:val="left"/>
      <w:pPr>
        <w:ind w:left="3712" w:hanging="397"/>
      </w:pPr>
      <w:rPr>
        <w:rFonts w:hint="default"/>
      </w:rPr>
    </w:lvl>
  </w:abstractNum>
  <w:abstractNum w:abstractNumId="18" w15:restartNumberingAfterBreak="0">
    <w:nsid w:val="234E2962"/>
    <w:multiLevelType w:val="hybridMultilevel"/>
    <w:tmpl w:val="1D8246C2"/>
    <w:lvl w:ilvl="0" w:tplc="3809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27651A42"/>
    <w:multiLevelType w:val="hybridMultilevel"/>
    <w:tmpl w:val="32C06F2E"/>
    <w:lvl w:ilvl="0" w:tplc="38090011">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291D6E79"/>
    <w:multiLevelType w:val="hybridMultilevel"/>
    <w:tmpl w:val="88DC09DC"/>
    <w:lvl w:ilvl="0" w:tplc="04090011">
      <w:start w:val="1"/>
      <w:numFmt w:val="decimal"/>
      <w:lvlText w:val="%1)"/>
      <w:lvlJc w:val="left"/>
      <w:pPr>
        <w:ind w:left="2008" w:hanging="360"/>
      </w:pPr>
      <w:rPr>
        <w:rFonts w:hint="default"/>
        <w:spacing w:val="-5"/>
        <w:w w:val="99"/>
        <w:sz w:val="24"/>
        <w:szCs w:val="24"/>
      </w:rPr>
    </w:lvl>
    <w:lvl w:ilvl="1" w:tplc="CB9487EE">
      <w:start w:val="1"/>
      <w:numFmt w:val="lowerLetter"/>
      <w:lvlText w:val="%2."/>
      <w:lvlJc w:val="left"/>
      <w:pPr>
        <w:ind w:left="2368" w:hanging="360"/>
      </w:pPr>
      <w:rPr>
        <w:rFonts w:ascii="Times New Roman" w:eastAsia="Times New Roman" w:hAnsi="Times New Roman" w:cs="Times New Roman" w:hint="default"/>
        <w:spacing w:val="-2"/>
        <w:w w:val="99"/>
        <w:sz w:val="24"/>
        <w:szCs w:val="24"/>
      </w:rPr>
    </w:lvl>
    <w:lvl w:ilvl="2" w:tplc="301C05F4">
      <w:numFmt w:val="bullet"/>
      <w:lvlText w:val="•"/>
      <w:lvlJc w:val="left"/>
      <w:pPr>
        <w:ind w:left="3162" w:hanging="360"/>
      </w:pPr>
      <w:rPr>
        <w:rFonts w:hint="default"/>
      </w:rPr>
    </w:lvl>
    <w:lvl w:ilvl="3" w:tplc="B0DA1698">
      <w:numFmt w:val="bullet"/>
      <w:lvlText w:val="•"/>
      <w:lvlJc w:val="left"/>
      <w:pPr>
        <w:ind w:left="3964" w:hanging="360"/>
      </w:pPr>
      <w:rPr>
        <w:rFonts w:hint="default"/>
      </w:rPr>
    </w:lvl>
    <w:lvl w:ilvl="4" w:tplc="4E2C5E6C">
      <w:numFmt w:val="bullet"/>
      <w:lvlText w:val="•"/>
      <w:lvlJc w:val="left"/>
      <w:pPr>
        <w:ind w:left="4767" w:hanging="360"/>
      </w:pPr>
      <w:rPr>
        <w:rFonts w:hint="default"/>
      </w:rPr>
    </w:lvl>
    <w:lvl w:ilvl="5" w:tplc="CE16C990">
      <w:numFmt w:val="bullet"/>
      <w:lvlText w:val="•"/>
      <w:lvlJc w:val="left"/>
      <w:pPr>
        <w:ind w:left="5569" w:hanging="360"/>
      </w:pPr>
      <w:rPr>
        <w:rFonts w:hint="default"/>
      </w:rPr>
    </w:lvl>
    <w:lvl w:ilvl="6" w:tplc="4E7AFC94">
      <w:numFmt w:val="bullet"/>
      <w:lvlText w:val="•"/>
      <w:lvlJc w:val="left"/>
      <w:pPr>
        <w:ind w:left="6372" w:hanging="360"/>
      </w:pPr>
      <w:rPr>
        <w:rFonts w:hint="default"/>
      </w:rPr>
    </w:lvl>
    <w:lvl w:ilvl="7" w:tplc="59184A8C">
      <w:numFmt w:val="bullet"/>
      <w:lvlText w:val="•"/>
      <w:lvlJc w:val="left"/>
      <w:pPr>
        <w:ind w:left="7174" w:hanging="360"/>
      </w:pPr>
      <w:rPr>
        <w:rFonts w:hint="default"/>
      </w:rPr>
    </w:lvl>
    <w:lvl w:ilvl="8" w:tplc="2AD22F16">
      <w:numFmt w:val="bullet"/>
      <w:lvlText w:val="•"/>
      <w:lvlJc w:val="left"/>
      <w:pPr>
        <w:ind w:left="7977" w:hanging="360"/>
      </w:pPr>
      <w:rPr>
        <w:rFonts w:hint="default"/>
      </w:rPr>
    </w:lvl>
  </w:abstractNum>
  <w:abstractNum w:abstractNumId="21" w15:restartNumberingAfterBreak="0">
    <w:nsid w:val="2FCE3DEA"/>
    <w:multiLevelType w:val="hybridMultilevel"/>
    <w:tmpl w:val="D720906A"/>
    <w:lvl w:ilvl="0" w:tplc="04210019">
      <w:start w:val="1"/>
      <w:numFmt w:val="lowerLetter"/>
      <w:lvlText w:val="%1."/>
      <w:lvlJc w:val="left"/>
      <w:pPr>
        <w:ind w:left="1856" w:hanging="360"/>
      </w:pPr>
    </w:lvl>
    <w:lvl w:ilvl="1" w:tplc="04210019" w:tentative="1">
      <w:start w:val="1"/>
      <w:numFmt w:val="lowerLetter"/>
      <w:lvlText w:val="%2."/>
      <w:lvlJc w:val="left"/>
      <w:pPr>
        <w:ind w:left="2576" w:hanging="360"/>
      </w:pPr>
    </w:lvl>
    <w:lvl w:ilvl="2" w:tplc="0421001B" w:tentative="1">
      <w:start w:val="1"/>
      <w:numFmt w:val="lowerRoman"/>
      <w:lvlText w:val="%3."/>
      <w:lvlJc w:val="right"/>
      <w:pPr>
        <w:ind w:left="3296" w:hanging="180"/>
      </w:pPr>
    </w:lvl>
    <w:lvl w:ilvl="3" w:tplc="0421000F" w:tentative="1">
      <w:start w:val="1"/>
      <w:numFmt w:val="decimal"/>
      <w:lvlText w:val="%4."/>
      <w:lvlJc w:val="left"/>
      <w:pPr>
        <w:ind w:left="4016" w:hanging="360"/>
      </w:pPr>
    </w:lvl>
    <w:lvl w:ilvl="4" w:tplc="04210019" w:tentative="1">
      <w:start w:val="1"/>
      <w:numFmt w:val="lowerLetter"/>
      <w:lvlText w:val="%5."/>
      <w:lvlJc w:val="left"/>
      <w:pPr>
        <w:ind w:left="4736" w:hanging="360"/>
      </w:pPr>
    </w:lvl>
    <w:lvl w:ilvl="5" w:tplc="0421001B" w:tentative="1">
      <w:start w:val="1"/>
      <w:numFmt w:val="lowerRoman"/>
      <w:lvlText w:val="%6."/>
      <w:lvlJc w:val="right"/>
      <w:pPr>
        <w:ind w:left="5456" w:hanging="180"/>
      </w:pPr>
    </w:lvl>
    <w:lvl w:ilvl="6" w:tplc="0421000F" w:tentative="1">
      <w:start w:val="1"/>
      <w:numFmt w:val="decimal"/>
      <w:lvlText w:val="%7."/>
      <w:lvlJc w:val="left"/>
      <w:pPr>
        <w:ind w:left="6176" w:hanging="360"/>
      </w:pPr>
    </w:lvl>
    <w:lvl w:ilvl="7" w:tplc="04210019" w:tentative="1">
      <w:start w:val="1"/>
      <w:numFmt w:val="lowerLetter"/>
      <w:lvlText w:val="%8."/>
      <w:lvlJc w:val="left"/>
      <w:pPr>
        <w:ind w:left="6896" w:hanging="360"/>
      </w:pPr>
    </w:lvl>
    <w:lvl w:ilvl="8" w:tplc="0421001B" w:tentative="1">
      <w:start w:val="1"/>
      <w:numFmt w:val="lowerRoman"/>
      <w:lvlText w:val="%9."/>
      <w:lvlJc w:val="right"/>
      <w:pPr>
        <w:ind w:left="7616" w:hanging="180"/>
      </w:pPr>
    </w:lvl>
  </w:abstractNum>
  <w:abstractNum w:abstractNumId="22" w15:restartNumberingAfterBreak="0">
    <w:nsid w:val="33713AAC"/>
    <w:multiLevelType w:val="hybridMultilevel"/>
    <w:tmpl w:val="0FD249F8"/>
    <w:lvl w:ilvl="0" w:tplc="576A0020">
      <w:start w:val="1"/>
      <w:numFmt w:val="upperLetter"/>
      <w:lvlText w:val="%1."/>
      <w:lvlJc w:val="left"/>
      <w:pPr>
        <w:ind w:left="510" w:hanging="397"/>
        <w:jc w:val="right"/>
      </w:pPr>
      <w:rPr>
        <w:rFonts w:ascii="Palatino Linotype" w:eastAsia="Palatino Linotype" w:hAnsi="Palatino Linotype" w:cs="Palatino Linotype" w:hint="default"/>
        <w:b/>
        <w:bCs/>
        <w:color w:val="231F20"/>
        <w:spacing w:val="-30"/>
        <w:w w:val="100"/>
        <w:sz w:val="24"/>
        <w:szCs w:val="24"/>
      </w:rPr>
    </w:lvl>
    <w:lvl w:ilvl="1" w:tplc="04090011">
      <w:start w:val="1"/>
      <w:numFmt w:val="decimal"/>
      <w:lvlText w:val="%2)"/>
      <w:lvlJc w:val="left"/>
      <w:pPr>
        <w:ind w:left="1077" w:hanging="397"/>
      </w:pPr>
      <w:rPr>
        <w:rFonts w:hint="default"/>
        <w:color w:val="231F20"/>
        <w:spacing w:val="-24"/>
        <w:w w:val="100"/>
        <w:sz w:val="24"/>
        <w:szCs w:val="24"/>
      </w:rPr>
    </w:lvl>
    <w:lvl w:ilvl="2" w:tplc="F3603B80">
      <w:numFmt w:val="bullet"/>
      <w:lvlText w:val="•"/>
      <w:lvlJc w:val="left"/>
      <w:pPr>
        <w:ind w:left="1456" w:hanging="397"/>
      </w:pPr>
      <w:rPr>
        <w:rFonts w:hint="default"/>
      </w:rPr>
    </w:lvl>
    <w:lvl w:ilvl="3" w:tplc="2B4A0E70">
      <w:numFmt w:val="bullet"/>
      <w:lvlText w:val="•"/>
      <w:lvlJc w:val="left"/>
      <w:pPr>
        <w:ind w:left="1832" w:hanging="397"/>
      </w:pPr>
      <w:rPr>
        <w:rFonts w:hint="default"/>
      </w:rPr>
    </w:lvl>
    <w:lvl w:ilvl="4" w:tplc="3C66949A">
      <w:numFmt w:val="bullet"/>
      <w:lvlText w:val="•"/>
      <w:lvlJc w:val="left"/>
      <w:pPr>
        <w:ind w:left="2208" w:hanging="397"/>
      </w:pPr>
      <w:rPr>
        <w:rFonts w:hint="default"/>
      </w:rPr>
    </w:lvl>
    <w:lvl w:ilvl="5" w:tplc="675E0F36">
      <w:numFmt w:val="bullet"/>
      <w:lvlText w:val="•"/>
      <w:lvlJc w:val="left"/>
      <w:pPr>
        <w:ind w:left="2584" w:hanging="397"/>
      </w:pPr>
      <w:rPr>
        <w:rFonts w:hint="default"/>
      </w:rPr>
    </w:lvl>
    <w:lvl w:ilvl="6" w:tplc="C6D42BCA">
      <w:numFmt w:val="bullet"/>
      <w:lvlText w:val="•"/>
      <w:lvlJc w:val="left"/>
      <w:pPr>
        <w:ind w:left="2960" w:hanging="397"/>
      </w:pPr>
      <w:rPr>
        <w:rFonts w:hint="default"/>
      </w:rPr>
    </w:lvl>
    <w:lvl w:ilvl="7" w:tplc="5E5A044E">
      <w:numFmt w:val="bullet"/>
      <w:lvlText w:val="•"/>
      <w:lvlJc w:val="left"/>
      <w:pPr>
        <w:ind w:left="3336" w:hanging="397"/>
      </w:pPr>
      <w:rPr>
        <w:rFonts w:hint="default"/>
      </w:rPr>
    </w:lvl>
    <w:lvl w:ilvl="8" w:tplc="66ECF936">
      <w:numFmt w:val="bullet"/>
      <w:lvlText w:val="•"/>
      <w:lvlJc w:val="left"/>
      <w:pPr>
        <w:ind w:left="3712" w:hanging="397"/>
      </w:pPr>
      <w:rPr>
        <w:rFonts w:hint="default"/>
      </w:rPr>
    </w:lvl>
  </w:abstractNum>
  <w:abstractNum w:abstractNumId="23" w15:restartNumberingAfterBreak="0">
    <w:nsid w:val="36120FD6"/>
    <w:multiLevelType w:val="hybridMultilevel"/>
    <w:tmpl w:val="5790B6F4"/>
    <w:lvl w:ilvl="0" w:tplc="38090011">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388342A4"/>
    <w:multiLevelType w:val="hybridMultilevel"/>
    <w:tmpl w:val="25D25B48"/>
    <w:lvl w:ilvl="0" w:tplc="E15ADE78">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5" w15:restartNumberingAfterBreak="0">
    <w:nsid w:val="3A24382C"/>
    <w:multiLevelType w:val="hybridMultilevel"/>
    <w:tmpl w:val="944A6438"/>
    <w:lvl w:ilvl="0" w:tplc="576A0020">
      <w:start w:val="1"/>
      <w:numFmt w:val="upperLetter"/>
      <w:lvlText w:val="%1."/>
      <w:lvlJc w:val="left"/>
      <w:pPr>
        <w:ind w:left="510" w:hanging="397"/>
        <w:jc w:val="right"/>
      </w:pPr>
      <w:rPr>
        <w:rFonts w:ascii="Palatino Linotype" w:eastAsia="Palatino Linotype" w:hAnsi="Palatino Linotype" w:cs="Palatino Linotype" w:hint="default"/>
        <w:b/>
        <w:bCs/>
        <w:color w:val="231F20"/>
        <w:spacing w:val="-30"/>
        <w:w w:val="100"/>
        <w:sz w:val="24"/>
        <w:szCs w:val="24"/>
      </w:rPr>
    </w:lvl>
    <w:lvl w:ilvl="1" w:tplc="2B6C2CBE">
      <w:start w:val="1"/>
      <w:numFmt w:val="decimal"/>
      <w:lvlText w:val="%2."/>
      <w:lvlJc w:val="left"/>
      <w:pPr>
        <w:ind w:left="1077" w:hanging="397"/>
      </w:pPr>
      <w:rPr>
        <w:rFonts w:ascii="Palatino Linotype" w:eastAsia="Palatino Linotype" w:hAnsi="Palatino Linotype" w:cs="Palatino Linotype" w:hint="default"/>
        <w:color w:val="231F20"/>
        <w:spacing w:val="-24"/>
        <w:w w:val="100"/>
        <w:sz w:val="24"/>
        <w:szCs w:val="24"/>
      </w:rPr>
    </w:lvl>
    <w:lvl w:ilvl="2" w:tplc="F3603B80">
      <w:numFmt w:val="bullet"/>
      <w:lvlText w:val="•"/>
      <w:lvlJc w:val="left"/>
      <w:pPr>
        <w:ind w:left="1456" w:hanging="397"/>
      </w:pPr>
      <w:rPr>
        <w:rFonts w:hint="default"/>
      </w:rPr>
    </w:lvl>
    <w:lvl w:ilvl="3" w:tplc="2B4A0E70">
      <w:numFmt w:val="bullet"/>
      <w:lvlText w:val="•"/>
      <w:lvlJc w:val="left"/>
      <w:pPr>
        <w:ind w:left="1832" w:hanging="397"/>
      </w:pPr>
      <w:rPr>
        <w:rFonts w:hint="default"/>
      </w:rPr>
    </w:lvl>
    <w:lvl w:ilvl="4" w:tplc="3C66949A">
      <w:numFmt w:val="bullet"/>
      <w:lvlText w:val="•"/>
      <w:lvlJc w:val="left"/>
      <w:pPr>
        <w:ind w:left="2208" w:hanging="397"/>
      </w:pPr>
      <w:rPr>
        <w:rFonts w:hint="default"/>
      </w:rPr>
    </w:lvl>
    <w:lvl w:ilvl="5" w:tplc="675E0F36">
      <w:numFmt w:val="bullet"/>
      <w:lvlText w:val="•"/>
      <w:lvlJc w:val="left"/>
      <w:pPr>
        <w:ind w:left="2584" w:hanging="397"/>
      </w:pPr>
      <w:rPr>
        <w:rFonts w:hint="default"/>
      </w:rPr>
    </w:lvl>
    <w:lvl w:ilvl="6" w:tplc="C6D42BCA">
      <w:numFmt w:val="bullet"/>
      <w:lvlText w:val="•"/>
      <w:lvlJc w:val="left"/>
      <w:pPr>
        <w:ind w:left="2960" w:hanging="397"/>
      </w:pPr>
      <w:rPr>
        <w:rFonts w:hint="default"/>
      </w:rPr>
    </w:lvl>
    <w:lvl w:ilvl="7" w:tplc="5E5A044E">
      <w:numFmt w:val="bullet"/>
      <w:lvlText w:val="•"/>
      <w:lvlJc w:val="left"/>
      <w:pPr>
        <w:ind w:left="3336" w:hanging="397"/>
      </w:pPr>
      <w:rPr>
        <w:rFonts w:hint="default"/>
      </w:rPr>
    </w:lvl>
    <w:lvl w:ilvl="8" w:tplc="66ECF936">
      <w:numFmt w:val="bullet"/>
      <w:lvlText w:val="•"/>
      <w:lvlJc w:val="left"/>
      <w:pPr>
        <w:ind w:left="3712" w:hanging="397"/>
      </w:pPr>
      <w:rPr>
        <w:rFonts w:hint="default"/>
      </w:rPr>
    </w:lvl>
  </w:abstractNum>
  <w:abstractNum w:abstractNumId="26" w15:restartNumberingAfterBreak="0">
    <w:nsid w:val="3D6208B0"/>
    <w:multiLevelType w:val="hybridMultilevel"/>
    <w:tmpl w:val="51A20B92"/>
    <w:lvl w:ilvl="0" w:tplc="7592D6C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15:restartNumberingAfterBreak="0">
    <w:nsid w:val="4549315C"/>
    <w:multiLevelType w:val="hybridMultilevel"/>
    <w:tmpl w:val="97A6429A"/>
    <w:lvl w:ilvl="0" w:tplc="04090011">
      <w:start w:val="1"/>
      <w:numFmt w:val="decimal"/>
      <w:lvlText w:val="%1)"/>
      <w:lvlJc w:val="left"/>
      <w:pPr>
        <w:ind w:left="2008" w:hanging="360"/>
      </w:pPr>
      <w:rPr>
        <w:rFonts w:hint="default"/>
        <w:spacing w:val="-5"/>
        <w:w w:val="99"/>
        <w:sz w:val="24"/>
        <w:szCs w:val="24"/>
      </w:rPr>
    </w:lvl>
    <w:lvl w:ilvl="1" w:tplc="891450EE">
      <w:numFmt w:val="bullet"/>
      <w:lvlText w:val="•"/>
      <w:lvlJc w:val="left"/>
      <w:pPr>
        <w:ind w:left="2758" w:hanging="360"/>
      </w:pPr>
      <w:rPr>
        <w:rFonts w:hint="default"/>
      </w:rPr>
    </w:lvl>
    <w:lvl w:ilvl="2" w:tplc="1D9A087C">
      <w:numFmt w:val="bullet"/>
      <w:lvlText w:val="•"/>
      <w:lvlJc w:val="left"/>
      <w:pPr>
        <w:ind w:left="3516" w:hanging="360"/>
      </w:pPr>
      <w:rPr>
        <w:rFonts w:hint="default"/>
      </w:rPr>
    </w:lvl>
    <w:lvl w:ilvl="3" w:tplc="C9FC581C">
      <w:numFmt w:val="bullet"/>
      <w:lvlText w:val="•"/>
      <w:lvlJc w:val="left"/>
      <w:pPr>
        <w:ind w:left="4274" w:hanging="360"/>
      </w:pPr>
      <w:rPr>
        <w:rFonts w:hint="default"/>
      </w:rPr>
    </w:lvl>
    <w:lvl w:ilvl="4" w:tplc="87DC83D0">
      <w:numFmt w:val="bullet"/>
      <w:lvlText w:val="•"/>
      <w:lvlJc w:val="left"/>
      <w:pPr>
        <w:ind w:left="5032" w:hanging="360"/>
      </w:pPr>
      <w:rPr>
        <w:rFonts w:hint="default"/>
      </w:rPr>
    </w:lvl>
    <w:lvl w:ilvl="5" w:tplc="4A24D95E">
      <w:numFmt w:val="bullet"/>
      <w:lvlText w:val="•"/>
      <w:lvlJc w:val="left"/>
      <w:pPr>
        <w:ind w:left="5791" w:hanging="360"/>
      </w:pPr>
      <w:rPr>
        <w:rFonts w:hint="default"/>
      </w:rPr>
    </w:lvl>
    <w:lvl w:ilvl="6" w:tplc="9E9670A0">
      <w:numFmt w:val="bullet"/>
      <w:lvlText w:val="•"/>
      <w:lvlJc w:val="left"/>
      <w:pPr>
        <w:ind w:left="6549" w:hanging="360"/>
      </w:pPr>
      <w:rPr>
        <w:rFonts w:hint="default"/>
      </w:rPr>
    </w:lvl>
    <w:lvl w:ilvl="7" w:tplc="158AC21A">
      <w:numFmt w:val="bullet"/>
      <w:lvlText w:val="•"/>
      <w:lvlJc w:val="left"/>
      <w:pPr>
        <w:ind w:left="7307" w:hanging="360"/>
      </w:pPr>
      <w:rPr>
        <w:rFonts w:hint="default"/>
      </w:rPr>
    </w:lvl>
    <w:lvl w:ilvl="8" w:tplc="02FCD3FA">
      <w:numFmt w:val="bullet"/>
      <w:lvlText w:val="•"/>
      <w:lvlJc w:val="left"/>
      <w:pPr>
        <w:ind w:left="8065" w:hanging="360"/>
      </w:pPr>
      <w:rPr>
        <w:rFonts w:hint="default"/>
      </w:rPr>
    </w:lvl>
  </w:abstractNum>
  <w:abstractNum w:abstractNumId="28" w15:restartNumberingAfterBreak="0">
    <w:nsid w:val="4A7E0F7B"/>
    <w:multiLevelType w:val="hybridMultilevel"/>
    <w:tmpl w:val="29DA01E4"/>
    <w:lvl w:ilvl="0" w:tplc="576A0020">
      <w:start w:val="1"/>
      <w:numFmt w:val="upperLetter"/>
      <w:lvlText w:val="%1."/>
      <w:lvlJc w:val="left"/>
      <w:pPr>
        <w:ind w:left="510" w:hanging="397"/>
        <w:jc w:val="right"/>
      </w:pPr>
      <w:rPr>
        <w:rFonts w:ascii="Palatino Linotype" w:eastAsia="Palatino Linotype" w:hAnsi="Palatino Linotype" w:cs="Palatino Linotype" w:hint="default"/>
        <w:b/>
        <w:bCs/>
        <w:color w:val="231F20"/>
        <w:spacing w:val="-30"/>
        <w:w w:val="100"/>
        <w:sz w:val="24"/>
        <w:szCs w:val="24"/>
      </w:rPr>
    </w:lvl>
    <w:lvl w:ilvl="1" w:tplc="0421000F">
      <w:start w:val="1"/>
      <w:numFmt w:val="decimal"/>
      <w:lvlText w:val="%2."/>
      <w:lvlJc w:val="left"/>
      <w:pPr>
        <w:ind w:left="1077" w:hanging="397"/>
      </w:pPr>
      <w:rPr>
        <w:rFonts w:hint="default"/>
        <w:color w:val="231F20"/>
        <w:spacing w:val="-24"/>
        <w:w w:val="100"/>
        <w:sz w:val="24"/>
        <w:szCs w:val="24"/>
      </w:rPr>
    </w:lvl>
    <w:lvl w:ilvl="2" w:tplc="F3603B80">
      <w:numFmt w:val="bullet"/>
      <w:lvlText w:val="•"/>
      <w:lvlJc w:val="left"/>
      <w:pPr>
        <w:ind w:left="1456" w:hanging="397"/>
      </w:pPr>
      <w:rPr>
        <w:rFonts w:hint="default"/>
      </w:rPr>
    </w:lvl>
    <w:lvl w:ilvl="3" w:tplc="2B4A0E70">
      <w:numFmt w:val="bullet"/>
      <w:lvlText w:val="•"/>
      <w:lvlJc w:val="left"/>
      <w:pPr>
        <w:ind w:left="1832" w:hanging="397"/>
      </w:pPr>
      <w:rPr>
        <w:rFonts w:hint="default"/>
      </w:rPr>
    </w:lvl>
    <w:lvl w:ilvl="4" w:tplc="3C66949A">
      <w:numFmt w:val="bullet"/>
      <w:lvlText w:val="•"/>
      <w:lvlJc w:val="left"/>
      <w:pPr>
        <w:ind w:left="2208" w:hanging="397"/>
      </w:pPr>
      <w:rPr>
        <w:rFonts w:hint="default"/>
      </w:rPr>
    </w:lvl>
    <w:lvl w:ilvl="5" w:tplc="675E0F36">
      <w:numFmt w:val="bullet"/>
      <w:lvlText w:val="•"/>
      <w:lvlJc w:val="left"/>
      <w:pPr>
        <w:ind w:left="2584" w:hanging="397"/>
      </w:pPr>
      <w:rPr>
        <w:rFonts w:hint="default"/>
      </w:rPr>
    </w:lvl>
    <w:lvl w:ilvl="6" w:tplc="C6D42BCA">
      <w:numFmt w:val="bullet"/>
      <w:lvlText w:val="•"/>
      <w:lvlJc w:val="left"/>
      <w:pPr>
        <w:ind w:left="2960" w:hanging="397"/>
      </w:pPr>
      <w:rPr>
        <w:rFonts w:hint="default"/>
      </w:rPr>
    </w:lvl>
    <w:lvl w:ilvl="7" w:tplc="5E5A044E">
      <w:numFmt w:val="bullet"/>
      <w:lvlText w:val="•"/>
      <w:lvlJc w:val="left"/>
      <w:pPr>
        <w:ind w:left="3336" w:hanging="397"/>
      </w:pPr>
      <w:rPr>
        <w:rFonts w:hint="default"/>
      </w:rPr>
    </w:lvl>
    <w:lvl w:ilvl="8" w:tplc="66ECF936">
      <w:numFmt w:val="bullet"/>
      <w:lvlText w:val="•"/>
      <w:lvlJc w:val="left"/>
      <w:pPr>
        <w:ind w:left="3712" w:hanging="397"/>
      </w:pPr>
      <w:rPr>
        <w:rFonts w:hint="default"/>
      </w:rPr>
    </w:lvl>
  </w:abstractNum>
  <w:abstractNum w:abstractNumId="29" w15:restartNumberingAfterBreak="0">
    <w:nsid w:val="4D921247"/>
    <w:multiLevelType w:val="hybridMultilevel"/>
    <w:tmpl w:val="97B0A70A"/>
    <w:lvl w:ilvl="0" w:tplc="167E66A8">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0" w15:restartNumberingAfterBreak="0">
    <w:nsid w:val="52FE3161"/>
    <w:multiLevelType w:val="hybridMultilevel"/>
    <w:tmpl w:val="1C66D9F4"/>
    <w:lvl w:ilvl="0" w:tplc="29305D56">
      <w:numFmt w:val="bullet"/>
      <w:lvlText w:val=""/>
      <w:lvlJc w:val="left"/>
      <w:pPr>
        <w:ind w:left="1648" w:hanging="360"/>
      </w:pPr>
      <w:rPr>
        <w:rFonts w:ascii="Symbol" w:eastAsia="Symbol" w:hAnsi="Symbol" w:cs="Symbol" w:hint="default"/>
        <w:w w:val="100"/>
        <w:sz w:val="24"/>
        <w:szCs w:val="24"/>
      </w:rPr>
    </w:lvl>
    <w:lvl w:ilvl="1" w:tplc="3F9476DA">
      <w:numFmt w:val="bullet"/>
      <w:lvlText w:val="•"/>
      <w:lvlJc w:val="left"/>
      <w:pPr>
        <w:ind w:left="2434" w:hanging="360"/>
      </w:pPr>
      <w:rPr>
        <w:rFonts w:hint="default"/>
      </w:rPr>
    </w:lvl>
    <w:lvl w:ilvl="2" w:tplc="16029B98">
      <w:numFmt w:val="bullet"/>
      <w:lvlText w:val="•"/>
      <w:lvlJc w:val="left"/>
      <w:pPr>
        <w:ind w:left="3228" w:hanging="360"/>
      </w:pPr>
      <w:rPr>
        <w:rFonts w:hint="default"/>
      </w:rPr>
    </w:lvl>
    <w:lvl w:ilvl="3" w:tplc="C4464018">
      <w:numFmt w:val="bullet"/>
      <w:lvlText w:val="•"/>
      <w:lvlJc w:val="left"/>
      <w:pPr>
        <w:ind w:left="4022" w:hanging="360"/>
      </w:pPr>
      <w:rPr>
        <w:rFonts w:hint="default"/>
      </w:rPr>
    </w:lvl>
    <w:lvl w:ilvl="4" w:tplc="4D3A0C5E">
      <w:numFmt w:val="bullet"/>
      <w:lvlText w:val="•"/>
      <w:lvlJc w:val="left"/>
      <w:pPr>
        <w:ind w:left="4816" w:hanging="360"/>
      </w:pPr>
      <w:rPr>
        <w:rFonts w:hint="default"/>
      </w:rPr>
    </w:lvl>
    <w:lvl w:ilvl="5" w:tplc="BAE451E6">
      <w:numFmt w:val="bullet"/>
      <w:lvlText w:val="•"/>
      <w:lvlJc w:val="left"/>
      <w:pPr>
        <w:ind w:left="5611" w:hanging="360"/>
      </w:pPr>
      <w:rPr>
        <w:rFonts w:hint="default"/>
      </w:rPr>
    </w:lvl>
    <w:lvl w:ilvl="6" w:tplc="5DE8F550">
      <w:numFmt w:val="bullet"/>
      <w:lvlText w:val="•"/>
      <w:lvlJc w:val="left"/>
      <w:pPr>
        <w:ind w:left="6405" w:hanging="360"/>
      </w:pPr>
      <w:rPr>
        <w:rFonts w:hint="default"/>
      </w:rPr>
    </w:lvl>
    <w:lvl w:ilvl="7" w:tplc="A700164E">
      <w:numFmt w:val="bullet"/>
      <w:lvlText w:val="•"/>
      <w:lvlJc w:val="left"/>
      <w:pPr>
        <w:ind w:left="7199" w:hanging="360"/>
      </w:pPr>
      <w:rPr>
        <w:rFonts w:hint="default"/>
      </w:rPr>
    </w:lvl>
    <w:lvl w:ilvl="8" w:tplc="EEE68B2C">
      <w:numFmt w:val="bullet"/>
      <w:lvlText w:val="•"/>
      <w:lvlJc w:val="left"/>
      <w:pPr>
        <w:ind w:left="7993" w:hanging="360"/>
      </w:pPr>
      <w:rPr>
        <w:rFonts w:hint="default"/>
      </w:rPr>
    </w:lvl>
  </w:abstractNum>
  <w:abstractNum w:abstractNumId="31" w15:restartNumberingAfterBreak="0">
    <w:nsid w:val="57A17C94"/>
    <w:multiLevelType w:val="hybridMultilevel"/>
    <w:tmpl w:val="0C348580"/>
    <w:lvl w:ilvl="0" w:tplc="38090011">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58A906E4"/>
    <w:multiLevelType w:val="hybridMultilevel"/>
    <w:tmpl w:val="932EE1A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5A9A1AC1"/>
    <w:multiLevelType w:val="hybridMultilevel"/>
    <w:tmpl w:val="5FE40BCC"/>
    <w:lvl w:ilvl="0" w:tplc="04090011">
      <w:start w:val="1"/>
      <w:numFmt w:val="decimal"/>
      <w:lvlText w:val="%1)"/>
      <w:lvlJc w:val="left"/>
      <w:pPr>
        <w:ind w:left="2008" w:hanging="360"/>
      </w:pPr>
      <w:rPr>
        <w:rFonts w:hint="default"/>
        <w:spacing w:val="-16"/>
        <w:w w:val="99"/>
        <w:sz w:val="24"/>
        <w:szCs w:val="24"/>
      </w:rPr>
    </w:lvl>
    <w:lvl w:ilvl="1" w:tplc="04090017">
      <w:start w:val="1"/>
      <w:numFmt w:val="lowerLetter"/>
      <w:lvlText w:val="%2)"/>
      <w:lvlJc w:val="left"/>
      <w:pPr>
        <w:ind w:left="2368" w:hanging="360"/>
      </w:pPr>
      <w:rPr>
        <w:rFonts w:hint="default"/>
        <w:spacing w:val="-25"/>
        <w:w w:val="99"/>
        <w:sz w:val="24"/>
        <w:szCs w:val="24"/>
      </w:rPr>
    </w:lvl>
    <w:lvl w:ilvl="2" w:tplc="CE82C57E">
      <w:numFmt w:val="bullet"/>
      <w:lvlText w:val="•"/>
      <w:lvlJc w:val="left"/>
      <w:pPr>
        <w:ind w:left="3162" w:hanging="360"/>
      </w:pPr>
      <w:rPr>
        <w:rFonts w:hint="default"/>
      </w:rPr>
    </w:lvl>
    <w:lvl w:ilvl="3" w:tplc="26B6869E">
      <w:numFmt w:val="bullet"/>
      <w:lvlText w:val="•"/>
      <w:lvlJc w:val="left"/>
      <w:pPr>
        <w:ind w:left="3964" w:hanging="360"/>
      </w:pPr>
      <w:rPr>
        <w:rFonts w:hint="default"/>
      </w:rPr>
    </w:lvl>
    <w:lvl w:ilvl="4" w:tplc="DFF0B10E">
      <w:numFmt w:val="bullet"/>
      <w:lvlText w:val="•"/>
      <w:lvlJc w:val="left"/>
      <w:pPr>
        <w:ind w:left="4767" w:hanging="360"/>
      </w:pPr>
      <w:rPr>
        <w:rFonts w:hint="default"/>
      </w:rPr>
    </w:lvl>
    <w:lvl w:ilvl="5" w:tplc="DD408CDA">
      <w:numFmt w:val="bullet"/>
      <w:lvlText w:val="•"/>
      <w:lvlJc w:val="left"/>
      <w:pPr>
        <w:ind w:left="5569" w:hanging="360"/>
      </w:pPr>
      <w:rPr>
        <w:rFonts w:hint="default"/>
      </w:rPr>
    </w:lvl>
    <w:lvl w:ilvl="6" w:tplc="EBF228EA">
      <w:numFmt w:val="bullet"/>
      <w:lvlText w:val="•"/>
      <w:lvlJc w:val="left"/>
      <w:pPr>
        <w:ind w:left="6372" w:hanging="360"/>
      </w:pPr>
      <w:rPr>
        <w:rFonts w:hint="default"/>
      </w:rPr>
    </w:lvl>
    <w:lvl w:ilvl="7" w:tplc="ED9879F0">
      <w:numFmt w:val="bullet"/>
      <w:lvlText w:val="•"/>
      <w:lvlJc w:val="left"/>
      <w:pPr>
        <w:ind w:left="7174" w:hanging="360"/>
      </w:pPr>
      <w:rPr>
        <w:rFonts w:hint="default"/>
      </w:rPr>
    </w:lvl>
    <w:lvl w:ilvl="8" w:tplc="4B92ADDC">
      <w:numFmt w:val="bullet"/>
      <w:lvlText w:val="•"/>
      <w:lvlJc w:val="left"/>
      <w:pPr>
        <w:ind w:left="7977" w:hanging="360"/>
      </w:pPr>
      <w:rPr>
        <w:rFonts w:hint="default"/>
      </w:rPr>
    </w:lvl>
  </w:abstractNum>
  <w:abstractNum w:abstractNumId="34" w15:restartNumberingAfterBreak="0">
    <w:nsid w:val="5EB20FC6"/>
    <w:multiLevelType w:val="hybridMultilevel"/>
    <w:tmpl w:val="EE806B14"/>
    <w:lvl w:ilvl="0" w:tplc="409C264A">
      <w:start w:val="1"/>
      <w:numFmt w:val="lowerLetter"/>
      <w:lvlText w:val="%1."/>
      <w:lvlJc w:val="left"/>
      <w:pPr>
        <w:ind w:left="786" w:hanging="360"/>
      </w:pPr>
      <w:rPr>
        <w:rFonts w:hint="default"/>
        <w:sz w:val="24"/>
        <w:szCs w:val="24"/>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5" w15:restartNumberingAfterBreak="0">
    <w:nsid w:val="6B1B488A"/>
    <w:multiLevelType w:val="hybridMultilevel"/>
    <w:tmpl w:val="30D83330"/>
    <w:lvl w:ilvl="0" w:tplc="04210011">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36" w15:restartNumberingAfterBreak="0">
    <w:nsid w:val="7C935933"/>
    <w:multiLevelType w:val="hybridMultilevel"/>
    <w:tmpl w:val="756AE2F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7F687FD5"/>
    <w:multiLevelType w:val="hybridMultilevel"/>
    <w:tmpl w:val="A022C5C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5"/>
  </w:num>
  <w:num w:numId="2">
    <w:abstractNumId w:val="21"/>
  </w:num>
  <w:num w:numId="3">
    <w:abstractNumId w:val="0"/>
  </w:num>
  <w:num w:numId="4">
    <w:abstractNumId w:val="35"/>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25"/>
  </w:num>
  <w:num w:numId="16">
    <w:abstractNumId w:val="30"/>
  </w:num>
  <w:num w:numId="17">
    <w:abstractNumId w:val="27"/>
  </w:num>
  <w:num w:numId="18">
    <w:abstractNumId w:val="33"/>
  </w:num>
  <w:num w:numId="19">
    <w:abstractNumId w:val="20"/>
  </w:num>
  <w:num w:numId="20">
    <w:abstractNumId w:val="17"/>
  </w:num>
  <w:num w:numId="21">
    <w:abstractNumId w:val="12"/>
  </w:num>
  <w:num w:numId="22">
    <w:abstractNumId w:val="28"/>
  </w:num>
  <w:num w:numId="23">
    <w:abstractNumId w:val="16"/>
  </w:num>
  <w:num w:numId="24">
    <w:abstractNumId w:val="36"/>
  </w:num>
  <w:num w:numId="25">
    <w:abstractNumId w:val="37"/>
  </w:num>
  <w:num w:numId="26">
    <w:abstractNumId w:val="23"/>
  </w:num>
  <w:num w:numId="27">
    <w:abstractNumId w:val="11"/>
  </w:num>
  <w:num w:numId="28">
    <w:abstractNumId w:val="31"/>
  </w:num>
  <w:num w:numId="29">
    <w:abstractNumId w:val="19"/>
  </w:num>
  <w:num w:numId="30">
    <w:abstractNumId w:val="14"/>
  </w:num>
  <w:num w:numId="31">
    <w:abstractNumId w:val="22"/>
  </w:num>
  <w:num w:numId="32">
    <w:abstractNumId w:val="13"/>
  </w:num>
  <w:num w:numId="33">
    <w:abstractNumId w:val="29"/>
  </w:num>
  <w:num w:numId="34">
    <w:abstractNumId w:val="18"/>
  </w:num>
  <w:num w:numId="35">
    <w:abstractNumId w:val="34"/>
  </w:num>
  <w:num w:numId="36">
    <w:abstractNumId w:val="32"/>
  </w:num>
  <w:num w:numId="37">
    <w:abstractNumId w:val="26"/>
  </w:num>
  <w:num w:numId="38">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activeWritingStyle w:appName="MSWord" w:lang="ar-SA" w:vendorID="64" w:dllVersion="6" w:nlCheck="1" w:checkStyle="0"/>
  <w:activeWritingStyle w:appName="MSWord" w:lang="en-US" w:vendorID="64" w:dllVersion="6" w:nlCheck="1" w:checkStyle="1"/>
  <w:activeWritingStyle w:appName="MSWord" w:lang="es-ES" w:vendorID="64" w:dllVersion="6" w:nlCheck="1" w:checkStyle="1"/>
  <w:activeWritingStyle w:appName="MSWord" w:lang="en-ID" w:vendorID="64" w:dllVersion="6" w:nlCheck="1" w:checkStyle="1"/>
  <w:activeWritingStyle w:appName="MSWord" w:lang="en-US" w:vendorID="64" w:dllVersion="0" w:nlCheck="1" w:checkStyle="0"/>
  <w:proofState w:spelling="clean" w:grammar="clean"/>
  <w:defaultTabStop w:val="720"/>
  <w:autoHyphenation/>
  <w:hyphenationZone w:val="284"/>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O0MDA2MDMxNDYwsjRT0lEKTi0uzszPAykwNK4FAJi8S7ItAAAA"/>
  </w:docVars>
  <w:rsids>
    <w:rsidRoot w:val="00C83139"/>
    <w:rsid w:val="000026C2"/>
    <w:rsid w:val="000034F2"/>
    <w:rsid w:val="0000361D"/>
    <w:rsid w:val="000039A3"/>
    <w:rsid w:val="00003A17"/>
    <w:rsid w:val="00007779"/>
    <w:rsid w:val="00010764"/>
    <w:rsid w:val="00012306"/>
    <w:rsid w:val="000128F5"/>
    <w:rsid w:val="000144DF"/>
    <w:rsid w:val="00016DE4"/>
    <w:rsid w:val="000201DB"/>
    <w:rsid w:val="000206A4"/>
    <w:rsid w:val="000225DB"/>
    <w:rsid w:val="00025223"/>
    <w:rsid w:val="00025531"/>
    <w:rsid w:val="0002799B"/>
    <w:rsid w:val="000301C0"/>
    <w:rsid w:val="00034C46"/>
    <w:rsid w:val="000368AE"/>
    <w:rsid w:val="000433F7"/>
    <w:rsid w:val="00044B8B"/>
    <w:rsid w:val="00047616"/>
    <w:rsid w:val="000501C3"/>
    <w:rsid w:val="00050B85"/>
    <w:rsid w:val="00052A18"/>
    <w:rsid w:val="00053E99"/>
    <w:rsid w:val="0005516A"/>
    <w:rsid w:val="000610C7"/>
    <w:rsid w:val="00061421"/>
    <w:rsid w:val="0006628E"/>
    <w:rsid w:val="00067BF6"/>
    <w:rsid w:val="000709A5"/>
    <w:rsid w:val="00071C19"/>
    <w:rsid w:val="000738C7"/>
    <w:rsid w:val="00073961"/>
    <w:rsid w:val="000743BF"/>
    <w:rsid w:val="00075002"/>
    <w:rsid w:val="00076648"/>
    <w:rsid w:val="00077133"/>
    <w:rsid w:val="000809EF"/>
    <w:rsid w:val="00082BDD"/>
    <w:rsid w:val="000858BD"/>
    <w:rsid w:val="000914BA"/>
    <w:rsid w:val="0009242D"/>
    <w:rsid w:val="00093724"/>
    <w:rsid w:val="00097D2A"/>
    <w:rsid w:val="000A0705"/>
    <w:rsid w:val="000A36FC"/>
    <w:rsid w:val="000A3E64"/>
    <w:rsid w:val="000A414A"/>
    <w:rsid w:val="000A5161"/>
    <w:rsid w:val="000A5659"/>
    <w:rsid w:val="000A7F86"/>
    <w:rsid w:val="000B092B"/>
    <w:rsid w:val="000C0AE2"/>
    <w:rsid w:val="000C118D"/>
    <w:rsid w:val="000C132A"/>
    <w:rsid w:val="000C4E2F"/>
    <w:rsid w:val="000C5EEE"/>
    <w:rsid w:val="000C63AB"/>
    <w:rsid w:val="000D0795"/>
    <w:rsid w:val="000D07C6"/>
    <w:rsid w:val="000D0946"/>
    <w:rsid w:val="000D189B"/>
    <w:rsid w:val="000D1B58"/>
    <w:rsid w:val="000D30BF"/>
    <w:rsid w:val="000D33A2"/>
    <w:rsid w:val="000D504B"/>
    <w:rsid w:val="000D5B75"/>
    <w:rsid w:val="000D5DFD"/>
    <w:rsid w:val="000D6C25"/>
    <w:rsid w:val="000D7E0E"/>
    <w:rsid w:val="000E04A2"/>
    <w:rsid w:val="000E46D4"/>
    <w:rsid w:val="000F0528"/>
    <w:rsid w:val="000F083F"/>
    <w:rsid w:val="000F14D9"/>
    <w:rsid w:val="000F1667"/>
    <w:rsid w:val="000F4340"/>
    <w:rsid w:val="000F69B7"/>
    <w:rsid w:val="000F7628"/>
    <w:rsid w:val="0010110A"/>
    <w:rsid w:val="001043DA"/>
    <w:rsid w:val="00104FB3"/>
    <w:rsid w:val="001052BA"/>
    <w:rsid w:val="001067AD"/>
    <w:rsid w:val="00106B5A"/>
    <w:rsid w:val="001125F0"/>
    <w:rsid w:val="001128C3"/>
    <w:rsid w:val="0011750C"/>
    <w:rsid w:val="00120720"/>
    <w:rsid w:val="00120780"/>
    <w:rsid w:val="0012148E"/>
    <w:rsid w:val="001226AC"/>
    <w:rsid w:val="0012275E"/>
    <w:rsid w:val="00127B8D"/>
    <w:rsid w:val="001311A3"/>
    <w:rsid w:val="00132B7E"/>
    <w:rsid w:val="00137D46"/>
    <w:rsid w:val="00144842"/>
    <w:rsid w:val="00145EBB"/>
    <w:rsid w:val="001505D4"/>
    <w:rsid w:val="00153D17"/>
    <w:rsid w:val="00155747"/>
    <w:rsid w:val="00156E51"/>
    <w:rsid w:val="00157163"/>
    <w:rsid w:val="001622E0"/>
    <w:rsid w:val="00164B30"/>
    <w:rsid w:val="00165924"/>
    <w:rsid w:val="00165F38"/>
    <w:rsid w:val="00177392"/>
    <w:rsid w:val="001812EF"/>
    <w:rsid w:val="00181326"/>
    <w:rsid w:val="00183DAD"/>
    <w:rsid w:val="00186603"/>
    <w:rsid w:val="001876D5"/>
    <w:rsid w:val="001914CD"/>
    <w:rsid w:val="001916FB"/>
    <w:rsid w:val="00191A72"/>
    <w:rsid w:val="00195B0B"/>
    <w:rsid w:val="001A0AA9"/>
    <w:rsid w:val="001A108F"/>
    <w:rsid w:val="001A13CE"/>
    <w:rsid w:val="001A25BA"/>
    <w:rsid w:val="001B10A2"/>
    <w:rsid w:val="001B14D1"/>
    <w:rsid w:val="001B1D1C"/>
    <w:rsid w:val="001B2E97"/>
    <w:rsid w:val="001B4DB3"/>
    <w:rsid w:val="001B4EEF"/>
    <w:rsid w:val="001B7216"/>
    <w:rsid w:val="001C1DAE"/>
    <w:rsid w:val="001C1E56"/>
    <w:rsid w:val="001C4B6E"/>
    <w:rsid w:val="001C6737"/>
    <w:rsid w:val="001C6F5F"/>
    <w:rsid w:val="001C76F3"/>
    <w:rsid w:val="001D18BE"/>
    <w:rsid w:val="001D5A20"/>
    <w:rsid w:val="001D6A7F"/>
    <w:rsid w:val="001D7907"/>
    <w:rsid w:val="001E3628"/>
    <w:rsid w:val="001E403F"/>
    <w:rsid w:val="001E632C"/>
    <w:rsid w:val="001F16AF"/>
    <w:rsid w:val="001F16B6"/>
    <w:rsid w:val="001F45C6"/>
    <w:rsid w:val="002007D6"/>
    <w:rsid w:val="00203576"/>
    <w:rsid w:val="00210518"/>
    <w:rsid w:val="0021206E"/>
    <w:rsid w:val="002133F4"/>
    <w:rsid w:val="00215491"/>
    <w:rsid w:val="00217026"/>
    <w:rsid w:val="00217E4F"/>
    <w:rsid w:val="00220C5B"/>
    <w:rsid w:val="0022418E"/>
    <w:rsid w:val="002261D6"/>
    <w:rsid w:val="00226485"/>
    <w:rsid w:val="00230139"/>
    <w:rsid w:val="00233001"/>
    <w:rsid w:val="00241C37"/>
    <w:rsid w:val="0024404E"/>
    <w:rsid w:val="00244CC0"/>
    <w:rsid w:val="00245BFF"/>
    <w:rsid w:val="0025158A"/>
    <w:rsid w:val="00254680"/>
    <w:rsid w:val="00257CF8"/>
    <w:rsid w:val="0026021A"/>
    <w:rsid w:val="0026082F"/>
    <w:rsid w:val="00273050"/>
    <w:rsid w:val="00275EDF"/>
    <w:rsid w:val="002836FF"/>
    <w:rsid w:val="00285322"/>
    <w:rsid w:val="00292343"/>
    <w:rsid w:val="00292BF1"/>
    <w:rsid w:val="00292D8F"/>
    <w:rsid w:val="002931F6"/>
    <w:rsid w:val="00293A23"/>
    <w:rsid w:val="0029653F"/>
    <w:rsid w:val="00297DA1"/>
    <w:rsid w:val="002A1575"/>
    <w:rsid w:val="002A2371"/>
    <w:rsid w:val="002A345F"/>
    <w:rsid w:val="002A678F"/>
    <w:rsid w:val="002B0350"/>
    <w:rsid w:val="002B0738"/>
    <w:rsid w:val="002B3A69"/>
    <w:rsid w:val="002B5475"/>
    <w:rsid w:val="002B57F4"/>
    <w:rsid w:val="002B698A"/>
    <w:rsid w:val="002C4915"/>
    <w:rsid w:val="002C4AE5"/>
    <w:rsid w:val="002C751F"/>
    <w:rsid w:val="002C7BB9"/>
    <w:rsid w:val="002D0F1E"/>
    <w:rsid w:val="002D1709"/>
    <w:rsid w:val="002D3A0F"/>
    <w:rsid w:val="002D4ABC"/>
    <w:rsid w:val="002D5CC4"/>
    <w:rsid w:val="002D6B05"/>
    <w:rsid w:val="002D7442"/>
    <w:rsid w:val="002E3001"/>
    <w:rsid w:val="002E37E2"/>
    <w:rsid w:val="002E426E"/>
    <w:rsid w:val="002E5D29"/>
    <w:rsid w:val="002E7BFE"/>
    <w:rsid w:val="002F062A"/>
    <w:rsid w:val="002F2DB1"/>
    <w:rsid w:val="00301450"/>
    <w:rsid w:val="00302CF0"/>
    <w:rsid w:val="00307598"/>
    <w:rsid w:val="003077EF"/>
    <w:rsid w:val="003155CC"/>
    <w:rsid w:val="0031560B"/>
    <w:rsid w:val="003271EC"/>
    <w:rsid w:val="00327B3C"/>
    <w:rsid w:val="00330E94"/>
    <w:rsid w:val="00333210"/>
    <w:rsid w:val="00334F69"/>
    <w:rsid w:val="0033589A"/>
    <w:rsid w:val="00340A09"/>
    <w:rsid w:val="003410A7"/>
    <w:rsid w:val="003418CC"/>
    <w:rsid w:val="00341B16"/>
    <w:rsid w:val="00345A8D"/>
    <w:rsid w:val="00346A8E"/>
    <w:rsid w:val="00346B3E"/>
    <w:rsid w:val="00350740"/>
    <w:rsid w:val="00351652"/>
    <w:rsid w:val="00351A4F"/>
    <w:rsid w:val="0035201E"/>
    <w:rsid w:val="00355BF9"/>
    <w:rsid w:val="0035731B"/>
    <w:rsid w:val="00357C4C"/>
    <w:rsid w:val="00361790"/>
    <w:rsid w:val="00362510"/>
    <w:rsid w:val="00362C44"/>
    <w:rsid w:val="003708B1"/>
    <w:rsid w:val="00373F72"/>
    <w:rsid w:val="003741C9"/>
    <w:rsid w:val="0037502B"/>
    <w:rsid w:val="0037639B"/>
    <w:rsid w:val="0037641A"/>
    <w:rsid w:val="00377025"/>
    <w:rsid w:val="00377161"/>
    <w:rsid w:val="0038188E"/>
    <w:rsid w:val="00381A04"/>
    <w:rsid w:val="00385CBC"/>
    <w:rsid w:val="00397E3B"/>
    <w:rsid w:val="003A1359"/>
    <w:rsid w:val="003A1B0E"/>
    <w:rsid w:val="003A55C9"/>
    <w:rsid w:val="003B73ED"/>
    <w:rsid w:val="003C4A54"/>
    <w:rsid w:val="003D1B69"/>
    <w:rsid w:val="003D445D"/>
    <w:rsid w:val="003E0AE3"/>
    <w:rsid w:val="003E43C8"/>
    <w:rsid w:val="003E6327"/>
    <w:rsid w:val="003E7462"/>
    <w:rsid w:val="003F1E6B"/>
    <w:rsid w:val="003F4EEA"/>
    <w:rsid w:val="003F78F2"/>
    <w:rsid w:val="00406C20"/>
    <w:rsid w:val="00412DB0"/>
    <w:rsid w:val="00414FB0"/>
    <w:rsid w:val="004155EE"/>
    <w:rsid w:val="00415E8A"/>
    <w:rsid w:val="00424882"/>
    <w:rsid w:val="00425808"/>
    <w:rsid w:val="00426905"/>
    <w:rsid w:val="00431709"/>
    <w:rsid w:val="00432B95"/>
    <w:rsid w:val="0043554C"/>
    <w:rsid w:val="00437237"/>
    <w:rsid w:val="0044015A"/>
    <w:rsid w:val="00440B25"/>
    <w:rsid w:val="00443EB3"/>
    <w:rsid w:val="004521A7"/>
    <w:rsid w:val="00452441"/>
    <w:rsid w:val="004525E0"/>
    <w:rsid w:val="004547FD"/>
    <w:rsid w:val="00455571"/>
    <w:rsid w:val="00457048"/>
    <w:rsid w:val="00457362"/>
    <w:rsid w:val="00462230"/>
    <w:rsid w:val="0046395E"/>
    <w:rsid w:val="00464A8F"/>
    <w:rsid w:val="004657FC"/>
    <w:rsid w:val="00471068"/>
    <w:rsid w:val="0047109E"/>
    <w:rsid w:val="00471705"/>
    <w:rsid w:val="004810EC"/>
    <w:rsid w:val="004824E2"/>
    <w:rsid w:val="0048295F"/>
    <w:rsid w:val="00483063"/>
    <w:rsid w:val="00483AA1"/>
    <w:rsid w:val="00484350"/>
    <w:rsid w:val="00485385"/>
    <w:rsid w:val="0048575C"/>
    <w:rsid w:val="00486394"/>
    <w:rsid w:val="00490352"/>
    <w:rsid w:val="00490AE8"/>
    <w:rsid w:val="00490B03"/>
    <w:rsid w:val="004954D2"/>
    <w:rsid w:val="00495D8A"/>
    <w:rsid w:val="004A422D"/>
    <w:rsid w:val="004B13E4"/>
    <w:rsid w:val="004B2939"/>
    <w:rsid w:val="004B3612"/>
    <w:rsid w:val="004B702A"/>
    <w:rsid w:val="004C3E2A"/>
    <w:rsid w:val="004C3E38"/>
    <w:rsid w:val="004C4395"/>
    <w:rsid w:val="004C5327"/>
    <w:rsid w:val="004D51A0"/>
    <w:rsid w:val="004E2982"/>
    <w:rsid w:val="004E565B"/>
    <w:rsid w:val="004F1AFD"/>
    <w:rsid w:val="004F24E5"/>
    <w:rsid w:val="004F41C5"/>
    <w:rsid w:val="004F7C6B"/>
    <w:rsid w:val="00504A32"/>
    <w:rsid w:val="005121CF"/>
    <w:rsid w:val="00517A38"/>
    <w:rsid w:val="00517A58"/>
    <w:rsid w:val="00520DDF"/>
    <w:rsid w:val="00521DB1"/>
    <w:rsid w:val="00526981"/>
    <w:rsid w:val="00531E0C"/>
    <w:rsid w:val="00536453"/>
    <w:rsid w:val="00536CB1"/>
    <w:rsid w:val="00537F90"/>
    <w:rsid w:val="0054435C"/>
    <w:rsid w:val="00544AC0"/>
    <w:rsid w:val="00560210"/>
    <w:rsid w:val="005610CE"/>
    <w:rsid w:val="00566011"/>
    <w:rsid w:val="00572586"/>
    <w:rsid w:val="0057422C"/>
    <w:rsid w:val="005745DC"/>
    <w:rsid w:val="00574B5D"/>
    <w:rsid w:val="0057523E"/>
    <w:rsid w:val="00583936"/>
    <w:rsid w:val="00584890"/>
    <w:rsid w:val="00585088"/>
    <w:rsid w:val="00586F0D"/>
    <w:rsid w:val="00587396"/>
    <w:rsid w:val="0058778C"/>
    <w:rsid w:val="005877B8"/>
    <w:rsid w:val="005A401B"/>
    <w:rsid w:val="005B01AA"/>
    <w:rsid w:val="005B1D14"/>
    <w:rsid w:val="005B44B5"/>
    <w:rsid w:val="005C6038"/>
    <w:rsid w:val="005D287F"/>
    <w:rsid w:val="005D71BE"/>
    <w:rsid w:val="005E21A2"/>
    <w:rsid w:val="005E2C61"/>
    <w:rsid w:val="005E421F"/>
    <w:rsid w:val="005E482E"/>
    <w:rsid w:val="005F0D35"/>
    <w:rsid w:val="005F3781"/>
    <w:rsid w:val="005F387D"/>
    <w:rsid w:val="005F4223"/>
    <w:rsid w:val="005F5B5B"/>
    <w:rsid w:val="005F5FC4"/>
    <w:rsid w:val="005F6328"/>
    <w:rsid w:val="00601370"/>
    <w:rsid w:val="00601E5A"/>
    <w:rsid w:val="006034C8"/>
    <w:rsid w:val="00604E93"/>
    <w:rsid w:val="00604F78"/>
    <w:rsid w:val="00606208"/>
    <w:rsid w:val="006105C5"/>
    <w:rsid w:val="00610739"/>
    <w:rsid w:val="00622FB5"/>
    <w:rsid w:val="006241D9"/>
    <w:rsid w:val="00624F3C"/>
    <w:rsid w:val="0062634B"/>
    <w:rsid w:val="00626B3B"/>
    <w:rsid w:val="00630687"/>
    <w:rsid w:val="00632B23"/>
    <w:rsid w:val="00635A54"/>
    <w:rsid w:val="00636B6F"/>
    <w:rsid w:val="0063761D"/>
    <w:rsid w:val="00643DD7"/>
    <w:rsid w:val="00645FF5"/>
    <w:rsid w:val="00647766"/>
    <w:rsid w:val="00647906"/>
    <w:rsid w:val="00654576"/>
    <w:rsid w:val="00655590"/>
    <w:rsid w:val="006611A5"/>
    <w:rsid w:val="00662698"/>
    <w:rsid w:val="006634CD"/>
    <w:rsid w:val="006719F8"/>
    <w:rsid w:val="006735D7"/>
    <w:rsid w:val="00677CD8"/>
    <w:rsid w:val="00680486"/>
    <w:rsid w:val="00681E42"/>
    <w:rsid w:val="006823CB"/>
    <w:rsid w:val="00683D9C"/>
    <w:rsid w:val="006846E4"/>
    <w:rsid w:val="0068657A"/>
    <w:rsid w:val="00692CB7"/>
    <w:rsid w:val="00693284"/>
    <w:rsid w:val="0069795E"/>
    <w:rsid w:val="006A140E"/>
    <w:rsid w:val="006A3C91"/>
    <w:rsid w:val="006A5107"/>
    <w:rsid w:val="006A6BDD"/>
    <w:rsid w:val="006B1BE5"/>
    <w:rsid w:val="006B1F63"/>
    <w:rsid w:val="006B46B3"/>
    <w:rsid w:val="006B5D22"/>
    <w:rsid w:val="006C00A6"/>
    <w:rsid w:val="006C747E"/>
    <w:rsid w:val="006C7B19"/>
    <w:rsid w:val="006D0FFD"/>
    <w:rsid w:val="006D47E8"/>
    <w:rsid w:val="006D5566"/>
    <w:rsid w:val="006E0623"/>
    <w:rsid w:val="006E2601"/>
    <w:rsid w:val="006E5F4D"/>
    <w:rsid w:val="006F06C4"/>
    <w:rsid w:val="006F0B93"/>
    <w:rsid w:val="006F244E"/>
    <w:rsid w:val="006F2E90"/>
    <w:rsid w:val="007003D7"/>
    <w:rsid w:val="007016E2"/>
    <w:rsid w:val="00702D30"/>
    <w:rsid w:val="00705301"/>
    <w:rsid w:val="007105BC"/>
    <w:rsid w:val="00710635"/>
    <w:rsid w:val="00713C09"/>
    <w:rsid w:val="007235D3"/>
    <w:rsid w:val="00730E56"/>
    <w:rsid w:val="0073216F"/>
    <w:rsid w:val="007422E5"/>
    <w:rsid w:val="00743352"/>
    <w:rsid w:val="00744DED"/>
    <w:rsid w:val="00752500"/>
    <w:rsid w:val="007642B0"/>
    <w:rsid w:val="0076479F"/>
    <w:rsid w:val="00766F42"/>
    <w:rsid w:val="00767EE1"/>
    <w:rsid w:val="0077595D"/>
    <w:rsid w:val="00776B99"/>
    <w:rsid w:val="0077730E"/>
    <w:rsid w:val="007808F8"/>
    <w:rsid w:val="007845E3"/>
    <w:rsid w:val="00784975"/>
    <w:rsid w:val="0078610B"/>
    <w:rsid w:val="00786D14"/>
    <w:rsid w:val="00786D9B"/>
    <w:rsid w:val="0079183D"/>
    <w:rsid w:val="00791BA1"/>
    <w:rsid w:val="00793FCF"/>
    <w:rsid w:val="007957A8"/>
    <w:rsid w:val="0079592F"/>
    <w:rsid w:val="00797888"/>
    <w:rsid w:val="007A1908"/>
    <w:rsid w:val="007B0F94"/>
    <w:rsid w:val="007B2E8A"/>
    <w:rsid w:val="007B3296"/>
    <w:rsid w:val="007B5633"/>
    <w:rsid w:val="007B5A6A"/>
    <w:rsid w:val="007B6DD7"/>
    <w:rsid w:val="007B7127"/>
    <w:rsid w:val="007C08D6"/>
    <w:rsid w:val="007C0C71"/>
    <w:rsid w:val="007C2769"/>
    <w:rsid w:val="007C4F6A"/>
    <w:rsid w:val="007D1808"/>
    <w:rsid w:val="007D2DBF"/>
    <w:rsid w:val="007D4FEF"/>
    <w:rsid w:val="007E0821"/>
    <w:rsid w:val="007E0E38"/>
    <w:rsid w:val="007E2E64"/>
    <w:rsid w:val="007E6F32"/>
    <w:rsid w:val="007E718B"/>
    <w:rsid w:val="007F562C"/>
    <w:rsid w:val="008049C0"/>
    <w:rsid w:val="00804BFB"/>
    <w:rsid w:val="0080530C"/>
    <w:rsid w:val="00810BC7"/>
    <w:rsid w:val="00810C11"/>
    <w:rsid w:val="00813B7F"/>
    <w:rsid w:val="008164E0"/>
    <w:rsid w:val="00817BBE"/>
    <w:rsid w:val="00821792"/>
    <w:rsid w:val="008218C1"/>
    <w:rsid w:val="00821ECD"/>
    <w:rsid w:val="00825360"/>
    <w:rsid w:val="008253C5"/>
    <w:rsid w:val="008318B4"/>
    <w:rsid w:val="008325A6"/>
    <w:rsid w:val="00832DFE"/>
    <w:rsid w:val="0083605B"/>
    <w:rsid w:val="00842369"/>
    <w:rsid w:val="008466E3"/>
    <w:rsid w:val="00847191"/>
    <w:rsid w:val="0085241F"/>
    <w:rsid w:val="00855343"/>
    <w:rsid w:val="0085662F"/>
    <w:rsid w:val="00856FEB"/>
    <w:rsid w:val="00857358"/>
    <w:rsid w:val="00860FF5"/>
    <w:rsid w:val="00861178"/>
    <w:rsid w:val="0086579C"/>
    <w:rsid w:val="008657D3"/>
    <w:rsid w:val="0086629B"/>
    <w:rsid w:val="00866AC8"/>
    <w:rsid w:val="00870F90"/>
    <w:rsid w:val="0087263E"/>
    <w:rsid w:val="00874A03"/>
    <w:rsid w:val="008801AF"/>
    <w:rsid w:val="00881B2D"/>
    <w:rsid w:val="00886458"/>
    <w:rsid w:val="00891BB8"/>
    <w:rsid w:val="00892458"/>
    <w:rsid w:val="008A2B8F"/>
    <w:rsid w:val="008A3E4D"/>
    <w:rsid w:val="008A4A14"/>
    <w:rsid w:val="008A4C12"/>
    <w:rsid w:val="008A7C77"/>
    <w:rsid w:val="008B00C2"/>
    <w:rsid w:val="008B26EA"/>
    <w:rsid w:val="008B2D28"/>
    <w:rsid w:val="008B4AE2"/>
    <w:rsid w:val="008B5E8A"/>
    <w:rsid w:val="008B68BD"/>
    <w:rsid w:val="008B6A4B"/>
    <w:rsid w:val="008C5E90"/>
    <w:rsid w:val="008C7166"/>
    <w:rsid w:val="008D1FBF"/>
    <w:rsid w:val="008D516B"/>
    <w:rsid w:val="008D64FD"/>
    <w:rsid w:val="008D6E08"/>
    <w:rsid w:val="008E1165"/>
    <w:rsid w:val="008E6D4D"/>
    <w:rsid w:val="008E747C"/>
    <w:rsid w:val="008F03C2"/>
    <w:rsid w:val="008F0D97"/>
    <w:rsid w:val="008F2EDB"/>
    <w:rsid w:val="009011D4"/>
    <w:rsid w:val="009030E7"/>
    <w:rsid w:val="00904E16"/>
    <w:rsid w:val="009062F2"/>
    <w:rsid w:val="00906D98"/>
    <w:rsid w:val="009072E8"/>
    <w:rsid w:val="00912438"/>
    <w:rsid w:val="0091276F"/>
    <w:rsid w:val="00913DF0"/>
    <w:rsid w:val="0091516E"/>
    <w:rsid w:val="00915507"/>
    <w:rsid w:val="00920955"/>
    <w:rsid w:val="00920BBB"/>
    <w:rsid w:val="00925187"/>
    <w:rsid w:val="00926244"/>
    <w:rsid w:val="009272BA"/>
    <w:rsid w:val="009327E6"/>
    <w:rsid w:val="0093290E"/>
    <w:rsid w:val="00932BF4"/>
    <w:rsid w:val="00934435"/>
    <w:rsid w:val="00934A4B"/>
    <w:rsid w:val="00940873"/>
    <w:rsid w:val="00943BE4"/>
    <w:rsid w:val="009504FE"/>
    <w:rsid w:val="00952A0C"/>
    <w:rsid w:val="009541AB"/>
    <w:rsid w:val="009542FC"/>
    <w:rsid w:val="0095543A"/>
    <w:rsid w:val="00955D63"/>
    <w:rsid w:val="009562B2"/>
    <w:rsid w:val="0095697D"/>
    <w:rsid w:val="00956A36"/>
    <w:rsid w:val="00957AA4"/>
    <w:rsid w:val="009602B0"/>
    <w:rsid w:val="00961A33"/>
    <w:rsid w:val="0097451F"/>
    <w:rsid w:val="009748A5"/>
    <w:rsid w:val="00975F9F"/>
    <w:rsid w:val="009764AF"/>
    <w:rsid w:val="00983519"/>
    <w:rsid w:val="00984781"/>
    <w:rsid w:val="0098687A"/>
    <w:rsid w:val="009900D2"/>
    <w:rsid w:val="009941F2"/>
    <w:rsid w:val="00995F0E"/>
    <w:rsid w:val="009961A9"/>
    <w:rsid w:val="009A2948"/>
    <w:rsid w:val="009A5B96"/>
    <w:rsid w:val="009A6D42"/>
    <w:rsid w:val="009A757B"/>
    <w:rsid w:val="009B79E4"/>
    <w:rsid w:val="009C3C93"/>
    <w:rsid w:val="009C71EB"/>
    <w:rsid w:val="009D6729"/>
    <w:rsid w:val="009D72EA"/>
    <w:rsid w:val="009D7F92"/>
    <w:rsid w:val="009E0593"/>
    <w:rsid w:val="009E19BD"/>
    <w:rsid w:val="009E36E0"/>
    <w:rsid w:val="009E6258"/>
    <w:rsid w:val="009E7339"/>
    <w:rsid w:val="009F72C1"/>
    <w:rsid w:val="00A01625"/>
    <w:rsid w:val="00A01668"/>
    <w:rsid w:val="00A02FCA"/>
    <w:rsid w:val="00A03AF8"/>
    <w:rsid w:val="00A151AA"/>
    <w:rsid w:val="00A20F0F"/>
    <w:rsid w:val="00A27978"/>
    <w:rsid w:val="00A27F39"/>
    <w:rsid w:val="00A32965"/>
    <w:rsid w:val="00A4325C"/>
    <w:rsid w:val="00A44C32"/>
    <w:rsid w:val="00A60C7C"/>
    <w:rsid w:val="00A6105E"/>
    <w:rsid w:val="00A6773A"/>
    <w:rsid w:val="00A725CD"/>
    <w:rsid w:val="00A756A9"/>
    <w:rsid w:val="00A81901"/>
    <w:rsid w:val="00A846D4"/>
    <w:rsid w:val="00A910A6"/>
    <w:rsid w:val="00A91EB3"/>
    <w:rsid w:val="00A93B40"/>
    <w:rsid w:val="00A94FED"/>
    <w:rsid w:val="00A962A8"/>
    <w:rsid w:val="00AA108E"/>
    <w:rsid w:val="00AA26EB"/>
    <w:rsid w:val="00AA2EB2"/>
    <w:rsid w:val="00AA445B"/>
    <w:rsid w:val="00AA7E35"/>
    <w:rsid w:val="00AB013D"/>
    <w:rsid w:val="00AB04C2"/>
    <w:rsid w:val="00AB09A6"/>
    <w:rsid w:val="00AB367D"/>
    <w:rsid w:val="00AB386A"/>
    <w:rsid w:val="00AB5AFD"/>
    <w:rsid w:val="00AB73B9"/>
    <w:rsid w:val="00AC3783"/>
    <w:rsid w:val="00AC620D"/>
    <w:rsid w:val="00AC6B91"/>
    <w:rsid w:val="00AD154C"/>
    <w:rsid w:val="00AD1F43"/>
    <w:rsid w:val="00AD1F7D"/>
    <w:rsid w:val="00AD2334"/>
    <w:rsid w:val="00AE3D74"/>
    <w:rsid w:val="00AE60B3"/>
    <w:rsid w:val="00AF1894"/>
    <w:rsid w:val="00AF2862"/>
    <w:rsid w:val="00AF551B"/>
    <w:rsid w:val="00AF6683"/>
    <w:rsid w:val="00AF71B9"/>
    <w:rsid w:val="00AF7CD0"/>
    <w:rsid w:val="00B01B40"/>
    <w:rsid w:val="00B03B46"/>
    <w:rsid w:val="00B0514B"/>
    <w:rsid w:val="00B05B98"/>
    <w:rsid w:val="00B0796D"/>
    <w:rsid w:val="00B118C6"/>
    <w:rsid w:val="00B133DA"/>
    <w:rsid w:val="00B14731"/>
    <w:rsid w:val="00B15A50"/>
    <w:rsid w:val="00B15C81"/>
    <w:rsid w:val="00B223BB"/>
    <w:rsid w:val="00B251A8"/>
    <w:rsid w:val="00B33298"/>
    <w:rsid w:val="00B346C9"/>
    <w:rsid w:val="00B35087"/>
    <w:rsid w:val="00B352AB"/>
    <w:rsid w:val="00B3680F"/>
    <w:rsid w:val="00B37197"/>
    <w:rsid w:val="00B37F88"/>
    <w:rsid w:val="00B40044"/>
    <w:rsid w:val="00B41EF3"/>
    <w:rsid w:val="00B4520D"/>
    <w:rsid w:val="00B46341"/>
    <w:rsid w:val="00B51746"/>
    <w:rsid w:val="00B55056"/>
    <w:rsid w:val="00B55A8A"/>
    <w:rsid w:val="00B56A7E"/>
    <w:rsid w:val="00B56BC5"/>
    <w:rsid w:val="00B572A1"/>
    <w:rsid w:val="00B60047"/>
    <w:rsid w:val="00B622F1"/>
    <w:rsid w:val="00B62699"/>
    <w:rsid w:val="00B6322E"/>
    <w:rsid w:val="00B639B7"/>
    <w:rsid w:val="00B63B3B"/>
    <w:rsid w:val="00B65980"/>
    <w:rsid w:val="00B66386"/>
    <w:rsid w:val="00B66599"/>
    <w:rsid w:val="00B723BB"/>
    <w:rsid w:val="00B81E35"/>
    <w:rsid w:val="00B83446"/>
    <w:rsid w:val="00B840CA"/>
    <w:rsid w:val="00B85B9C"/>
    <w:rsid w:val="00B868C6"/>
    <w:rsid w:val="00B95AC1"/>
    <w:rsid w:val="00B9688E"/>
    <w:rsid w:val="00B9703A"/>
    <w:rsid w:val="00BA1367"/>
    <w:rsid w:val="00BA3CF0"/>
    <w:rsid w:val="00BA589B"/>
    <w:rsid w:val="00BA7AF6"/>
    <w:rsid w:val="00BA7C64"/>
    <w:rsid w:val="00BB0E01"/>
    <w:rsid w:val="00BB1552"/>
    <w:rsid w:val="00BB1873"/>
    <w:rsid w:val="00BB63C6"/>
    <w:rsid w:val="00BB6DDE"/>
    <w:rsid w:val="00BB7BCA"/>
    <w:rsid w:val="00BC53FA"/>
    <w:rsid w:val="00BC5CA1"/>
    <w:rsid w:val="00BC716A"/>
    <w:rsid w:val="00BC71F8"/>
    <w:rsid w:val="00BD03D6"/>
    <w:rsid w:val="00BD1DFE"/>
    <w:rsid w:val="00BD461F"/>
    <w:rsid w:val="00BD4EAB"/>
    <w:rsid w:val="00BD532A"/>
    <w:rsid w:val="00BE4D8F"/>
    <w:rsid w:val="00BF065F"/>
    <w:rsid w:val="00BF17A9"/>
    <w:rsid w:val="00BF1DE7"/>
    <w:rsid w:val="00BF3FD7"/>
    <w:rsid w:val="00BF484C"/>
    <w:rsid w:val="00BF4CCC"/>
    <w:rsid w:val="00BF766C"/>
    <w:rsid w:val="00C021E4"/>
    <w:rsid w:val="00C02348"/>
    <w:rsid w:val="00C02F3A"/>
    <w:rsid w:val="00C053EB"/>
    <w:rsid w:val="00C06D7E"/>
    <w:rsid w:val="00C06E31"/>
    <w:rsid w:val="00C1155C"/>
    <w:rsid w:val="00C12043"/>
    <w:rsid w:val="00C120BD"/>
    <w:rsid w:val="00C14465"/>
    <w:rsid w:val="00C16FCE"/>
    <w:rsid w:val="00C20FF6"/>
    <w:rsid w:val="00C22542"/>
    <w:rsid w:val="00C226A7"/>
    <w:rsid w:val="00C27059"/>
    <w:rsid w:val="00C32BE8"/>
    <w:rsid w:val="00C42AEF"/>
    <w:rsid w:val="00C45B3B"/>
    <w:rsid w:val="00C45D8A"/>
    <w:rsid w:val="00C46656"/>
    <w:rsid w:val="00C501FE"/>
    <w:rsid w:val="00C51409"/>
    <w:rsid w:val="00C5292C"/>
    <w:rsid w:val="00C52EC5"/>
    <w:rsid w:val="00C613CC"/>
    <w:rsid w:val="00C62984"/>
    <w:rsid w:val="00C62A0F"/>
    <w:rsid w:val="00C6311C"/>
    <w:rsid w:val="00C657A3"/>
    <w:rsid w:val="00C73E03"/>
    <w:rsid w:val="00C74125"/>
    <w:rsid w:val="00C74AB9"/>
    <w:rsid w:val="00C80464"/>
    <w:rsid w:val="00C83139"/>
    <w:rsid w:val="00C84C9C"/>
    <w:rsid w:val="00C8766F"/>
    <w:rsid w:val="00C9145C"/>
    <w:rsid w:val="00C930EE"/>
    <w:rsid w:val="00C94275"/>
    <w:rsid w:val="00C968D5"/>
    <w:rsid w:val="00CA0507"/>
    <w:rsid w:val="00CA0601"/>
    <w:rsid w:val="00CA1AF9"/>
    <w:rsid w:val="00CA60E2"/>
    <w:rsid w:val="00CA658B"/>
    <w:rsid w:val="00CA70BD"/>
    <w:rsid w:val="00CB3823"/>
    <w:rsid w:val="00CB48DB"/>
    <w:rsid w:val="00CB6628"/>
    <w:rsid w:val="00CC15FF"/>
    <w:rsid w:val="00CC7638"/>
    <w:rsid w:val="00CD1299"/>
    <w:rsid w:val="00CD3572"/>
    <w:rsid w:val="00CD6FB2"/>
    <w:rsid w:val="00CD764E"/>
    <w:rsid w:val="00CD7BEC"/>
    <w:rsid w:val="00CE1DDF"/>
    <w:rsid w:val="00CE3D73"/>
    <w:rsid w:val="00CE4525"/>
    <w:rsid w:val="00CE4C28"/>
    <w:rsid w:val="00CE6AA9"/>
    <w:rsid w:val="00CE6C90"/>
    <w:rsid w:val="00CF235D"/>
    <w:rsid w:val="00CF4859"/>
    <w:rsid w:val="00D07839"/>
    <w:rsid w:val="00D12671"/>
    <w:rsid w:val="00D12BC2"/>
    <w:rsid w:val="00D14808"/>
    <w:rsid w:val="00D16CAF"/>
    <w:rsid w:val="00D1769B"/>
    <w:rsid w:val="00D23BA4"/>
    <w:rsid w:val="00D25040"/>
    <w:rsid w:val="00D26D32"/>
    <w:rsid w:val="00D3015A"/>
    <w:rsid w:val="00D340CE"/>
    <w:rsid w:val="00D3607A"/>
    <w:rsid w:val="00D36517"/>
    <w:rsid w:val="00D3699E"/>
    <w:rsid w:val="00D36B9B"/>
    <w:rsid w:val="00D37FE7"/>
    <w:rsid w:val="00D401CC"/>
    <w:rsid w:val="00D41B27"/>
    <w:rsid w:val="00D43C82"/>
    <w:rsid w:val="00D440CA"/>
    <w:rsid w:val="00D46230"/>
    <w:rsid w:val="00D51397"/>
    <w:rsid w:val="00D5502B"/>
    <w:rsid w:val="00D5740A"/>
    <w:rsid w:val="00D57CFF"/>
    <w:rsid w:val="00D60EBB"/>
    <w:rsid w:val="00D61402"/>
    <w:rsid w:val="00D6180B"/>
    <w:rsid w:val="00D61AA9"/>
    <w:rsid w:val="00D63827"/>
    <w:rsid w:val="00D64FFB"/>
    <w:rsid w:val="00D710C2"/>
    <w:rsid w:val="00D7185E"/>
    <w:rsid w:val="00D7293F"/>
    <w:rsid w:val="00D76CE0"/>
    <w:rsid w:val="00D81189"/>
    <w:rsid w:val="00D83FF8"/>
    <w:rsid w:val="00D85199"/>
    <w:rsid w:val="00D8650F"/>
    <w:rsid w:val="00D876B7"/>
    <w:rsid w:val="00D92F60"/>
    <w:rsid w:val="00D96ECD"/>
    <w:rsid w:val="00DA2BF2"/>
    <w:rsid w:val="00DA5A4D"/>
    <w:rsid w:val="00DA6B45"/>
    <w:rsid w:val="00DB2E70"/>
    <w:rsid w:val="00DB34FC"/>
    <w:rsid w:val="00DB4809"/>
    <w:rsid w:val="00DB4A64"/>
    <w:rsid w:val="00DB55BC"/>
    <w:rsid w:val="00DB74CB"/>
    <w:rsid w:val="00DB7942"/>
    <w:rsid w:val="00DC5719"/>
    <w:rsid w:val="00DC7BEA"/>
    <w:rsid w:val="00DD5837"/>
    <w:rsid w:val="00DD5EEF"/>
    <w:rsid w:val="00DE4186"/>
    <w:rsid w:val="00DE45F1"/>
    <w:rsid w:val="00DE6458"/>
    <w:rsid w:val="00DE69A9"/>
    <w:rsid w:val="00DE6D1D"/>
    <w:rsid w:val="00DF0CDC"/>
    <w:rsid w:val="00DF41F0"/>
    <w:rsid w:val="00DF43FB"/>
    <w:rsid w:val="00E015DA"/>
    <w:rsid w:val="00E01BA7"/>
    <w:rsid w:val="00E04F56"/>
    <w:rsid w:val="00E05716"/>
    <w:rsid w:val="00E05A8C"/>
    <w:rsid w:val="00E116B0"/>
    <w:rsid w:val="00E13007"/>
    <w:rsid w:val="00E14BB5"/>
    <w:rsid w:val="00E153F5"/>
    <w:rsid w:val="00E167FB"/>
    <w:rsid w:val="00E20029"/>
    <w:rsid w:val="00E2463A"/>
    <w:rsid w:val="00E24864"/>
    <w:rsid w:val="00E32354"/>
    <w:rsid w:val="00E32B21"/>
    <w:rsid w:val="00E32D3A"/>
    <w:rsid w:val="00E33A61"/>
    <w:rsid w:val="00E35EFB"/>
    <w:rsid w:val="00E36F01"/>
    <w:rsid w:val="00E40D89"/>
    <w:rsid w:val="00E41C01"/>
    <w:rsid w:val="00E42AE1"/>
    <w:rsid w:val="00E4320D"/>
    <w:rsid w:val="00E43A30"/>
    <w:rsid w:val="00E43F51"/>
    <w:rsid w:val="00E46AAA"/>
    <w:rsid w:val="00E50808"/>
    <w:rsid w:val="00E540D4"/>
    <w:rsid w:val="00E54CFE"/>
    <w:rsid w:val="00E56B43"/>
    <w:rsid w:val="00E5788B"/>
    <w:rsid w:val="00E6109E"/>
    <w:rsid w:val="00E620D0"/>
    <w:rsid w:val="00E6575A"/>
    <w:rsid w:val="00E6650A"/>
    <w:rsid w:val="00E74546"/>
    <w:rsid w:val="00E74ED6"/>
    <w:rsid w:val="00E754E2"/>
    <w:rsid w:val="00E75C43"/>
    <w:rsid w:val="00E80358"/>
    <w:rsid w:val="00E90301"/>
    <w:rsid w:val="00E903E4"/>
    <w:rsid w:val="00E9202E"/>
    <w:rsid w:val="00E945A6"/>
    <w:rsid w:val="00E96E20"/>
    <w:rsid w:val="00EA124C"/>
    <w:rsid w:val="00EA22E1"/>
    <w:rsid w:val="00EA4B90"/>
    <w:rsid w:val="00EB0AEF"/>
    <w:rsid w:val="00EB218D"/>
    <w:rsid w:val="00EB3954"/>
    <w:rsid w:val="00EB4348"/>
    <w:rsid w:val="00EB45DB"/>
    <w:rsid w:val="00EC0456"/>
    <w:rsid w:val="00EC0BA9"/>
    <w:rsid w:val="00EC2F1C"/>
    <w:rsid w:val="00EC3214"/>
    <w:rsid w:val="00EC4413"/>
    <w:rsid w:val="00EC505D"/>
    <w:rsid w:val="00ED05E4"/>
    <w:rsid w:val="00ED09B1"/>
    <w:rsid w:val="00ED2D15"/>
    <w:rsid w:val="00ED3982"/>
    <w:rsid w:val="00ED4A03"/>
    <w:rsid w:val="00ED67BA"/>
    <w:rsid w:val="00EE142B"/>
    <w:rsid w:val="00EE2026"/>
    <w:rsid w:val="00EE7A7D"/>
    <w:rsid w:val="00EF06E3"/>
    <w:rsid w:val="00EF16A8"/>
    <w:rsid w:val="00EF1AF8"/>
    <w:rsid w:val="00EF5128"/>
    <w:rsid w:val="00EF5C88"/>
    <w:rsid w:val="00EF7345"/>
    <w:rsid w:val="00F008F2"/>
    <w:rsid w:val="00F01FDE"/>
    <w:rsid w:val="00F04A41"/>
    <w:rsid w:val="00F04F03"/>
    <w:rsid w:val="00F06AC8"/>
    <w:rsid w:val="00F128C3"/>
    <w:rsid w:val="00F12DAE"/>
    <w:rsid w:val="00F15ED0"/>
    <w:rsid w:val="00F1650C"/>
    <w:rsid w:val="00F168EA"/>
    <w:rsid w:val="00F2038D"/>
    <w:rsid w:val="00F22B06"/>
    <w:rsid w:val="00F2610B"/>
    <w:rsid w:val="00F26BB5"/>
    <w:rsid w:val="00F26EB4"/>
    <w:rsid w:val="00F27225"/>
    <w:rsid w:val="00F302B5"/>
    <w:rsid w:val="00F3353E"/>
    <w:rsid w:val="00F356B8"/>
    <w:rsid w:val="00F444D4"/>
    <w:rsid w:val="00F465B5"/>
    <w:rsid w:val="00F46E53"/>
    <w:rsid w:val="00F4748B"/>
    <w:rsid w:val="00F503A0"/>
    <w:rsid w:val="00F504D9"/>
    <w:rsid w:val="00F52CF1"/>
    <w:rsid w:val="00F57E8B"/>
    <w:rsid w:val="00F62592"/>
    <w:rsid w:val="00F63B5A"/>
    <w:rsid w:val="00F65B40"/>
    <w:rsid w:val="00F66CA2"/>
    <w:rsid w:val="00F675B3"/>
    <w:rsid w:val="00F6762A"/>
    <w:rsid w:val="00F72274"/>
    <w:rsid w:val="00F73D12"/>
    <w:rsid w:val="00F80469"/>
    <w:rsid w:val="00F80F08"/>
    <w:rsid w:val="00F81B00"/>
    <w:rsid w:val="00F861BD"/>
    <w:rsid w:val="00F8680F"/>
    <w:rsid w:val="00F91E07"/>
    <w:rsid w:val="00F92417"/>
    <w:rsid w:val="00F936FE"/>
    <w:rsid w:val="00F94F85"/>
    <w:rsid w:val="00F968E2"/>
    <w:rsid w:val="00FA03F7"/>
    <w:rsid w:val="00FA0FE7"/>
    <w:rsid w:val="00FA35EB"/>
    <w:rsid w:val="00FA3AED"/>
    <w:rsid w:val="00FA565A"/>
    <w:rsid w:val="00FA5850"/>
    <w:rsid w:val="00FA7BE6"/>
    <w:rsid w:val="00FB0758"/>
    <w:rsid w:val="00FB77A4"/>
    <w:rsid w:val="00FC7118"/>
    <w:rsid w:val="00FC7EFD"/>
    <w:rsid w:val="00FD0CF7"/>
    <w:rsid w:val="00FD0EA6"/>
    <w:rsid w:val="00FD1FBA"/>
    <w:rsid w:val="00FD4473"/>
    <w:rsid w:val="00FD61E7"/>
    <w:rsid w:val="00FD6578"/>
    <w:rsid w:val="00FD7667"/>
    <w:rsid w:val="00FE14C9"/>
    <w:rsid w:val="00FE1D9D"/>
    <w:rsid w:val="00FE2A64"/>
    <w:rsid w:val="00FE31B1"/>
    <w:rsid w:val="00FE3A1D"/>
    <w:rsid w:val="00FF3079"/>
    <w:rsid w:val="00FF3C0C"/>
    <w:rsid w:val="00FF6B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7099FE"/>
  <w15:docId w15:val="{24B709B7-E7EB-4B9E-86A4-F650AF5B4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20D"/>
    <w:pPr>
      <w:spacing w:after="200" w:line="276" w:lineRule="auto"/>
    </w:pPr>
    <w:rPr>
      <w:sz w:val="22"/>
      <w:szCs w:val="22"/>
      <w:lang w:val="id-ID"/>
    </w:rPr>
  </w:style>
  <w:style w:type="paragraph" w:styleId="Heading1">
    <w:name w:val="heading 1"/>
    <w:basedOn w:val="Normal"/>
    <w:link w:val="Heading1Char"/>
    <w:uiPriority w:val="99"/>
    <w:qFormat/>
    <w:rsid w:val="009D6729"/>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9"/>
    <w:qFormat/>
    <w:rsid w:val="00FB0758"/>
    <w:pPr>
      <w:keepNext/>
      <w:spacing w:after="0" w:line="240" w:lineRule="auto"/>
      <w:jc w:val="both"/>
      <w:outlineLvl w:val="1"/>
    </w:pPr>
    <w:rPr>
      <w:rFonts w:ascii="Comic Sans MS" w:eastAsia="Times New Roman" w:hAnsi="Comic Sans MS" w:cs="Comic Sans MS"/>
      <w:b/>
      <w:bCs/>
      <w:w w:val="8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C83139"/>
    <w:pPr>
      <w:ind w:left="720"/>
      <w:contextualSpacing/>
    </w:pPr>
  </w:style>
  <w:style w:type="paragraph" w:styleId="FootnoteText">
    <w:name w:val="footnote text"/>
    <w:basedOn w:val="Normal"/>
    <w:link w:val="FootnoteTextChar"/>
    <w:uiPriority w:val="99"/>
    <w:semiHidden/>
    <w:unhideWhenUsed/>
    <w:rsid w:val="00C83139"/>
    <w:pPr>
      <w:spacing w:after="0" w:line="240" w:lineRule="auto"/>
    </w:pPr>
    <w:rPr>
      <w:sz w:val="20"/>
      <w:szCs w:val="20"/>
    </w:rPr>
  </w:style>
  <w:style w:type="character" w:customStyle="1" w:styleId="FootnoteTextChar">
    <w:name w:val="Footnote Text Char"/>
    <w:link w:val="FootnoteText"/>
    <w:uiPriority w:val="99"/>
    <w:semiHidden/>
    <w:rsid w:val="00C83139"/>
    <w:rPr>
      <w:sz w:val="20"/>
      <w:szCs w:val="20"/>
      <w:lang w:val="id-ID"/>
    </w:rPr>
  </w:style>
  <w:style w:type="character" w:styleId="FootnoteReference">
    <w:name w:val="footnote reference"/>
    <w:uiPriority w:val="99"/>
    <w:unhideWhenUsed/>
    <w:rsid w:val="00C83139"/>
    <w:rPr>
      <w:vertAlign w:val="superscript"/>
    </w:rPr>
  </w:style>
  <w:style w:type="paragraph" w:styleId="Footer">
    <w:name w:val="footer"/>
    <w:basedOn w:val="Normal"/>
    <w:link w:val="FooterChar"/>
    <w:uiPriority w:val="99"/>
    <w:unhideWhenUsed/>
    <w:rsid w:val="00C83139"/>
    <w:pPr>
      <w:tabs>
        <w:tab w:val="center" w:pos="4513"/>
        <w:tab w:val="right" w:pos="9026"/>
      </w:tabs>
      <w:spacing w:after="0" w:line="240" w:lineRule="auto"/>
    </w:pPr>
  </w:style>
  <w:style w:type="character" w:customStyle="1" w:styleId="FooterChar">
    <w:name w:val="Footer Char"/>
    <w:link w:val="Footer"/>
    <w:uiPriority w:val="99"/>
    <w:rsid w:val="00C83139"/>
    <w:rPr>
      <w:lang w:val="id-ID"/>
    </w:rPr>
  </w:style>
  <w:style w:type="character" w:styleId="Hyperlink">
    <w:name w:val="Hyperlink"/>
    <w:uiPriority w:val="99"/>
    <w:unhideWhenUsed/>
    <w:rsid w:val="00C83139"/>
    <w:rPr>
      <w:color w:val="0000FF"/>
      <w:u w:val="single"/>
    </w:rPr>
  </w:style>
  <w:style w:type="paragraph" w:styleId="NormalWeb">
    <w:name w:val="Normal (Web)"/>
    <w:basedOn w:val="Normal"/>
    <w:uiPriority w:val="99"/>
    <w:unhideWhenUsed/>
    <w:rsid w:val="009B79E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uiPriority w:val="22"/>
    <w:qFormat/>
    <w:rsid w:val="009B79E4"/>
    <w:rPr>
      <w:b/>
      <w:bCs/>
    </w:rPr>
  </w:style>
  <w:style w:type="character" w:customStyle="1" w:styleId="a">
    <w:name w:val="a"/>
    <w:basedOn w:val="DefaultParagraphFont"/>
    <w:rsid w:val="005B1D14"/>
  </w:style>
  <w:style w:type="character" w:customStyle="1" w:styleId="l6">
    <w:name w:val="l6"/>
    <w:basedOn w:val="DefaultParagraphFont"/>
    <w:rsid w:val="005B1D14"/>
  </w:style>
  <w:style w:type="character" w:customStyle="1" w:styleId="l8">
    <w:name w:val="l8"/>
    <w:basedOn w:val="DefaultParagraphFont"/>
    <w:rsid w:val="005B1D14"/>
  </w:style>
  <w:style w:type="character" w:customStyle="1" w:styleId="l7">
    <w:name w:val="l7"/>
    <w:basedOn w:val="DefaultParagraphFont"/>
    <w:rsid w:val="005B1D14"/>
  </w:style>
  <w:style w:type="character" w:customStyle="1" w:styleId="Heading1Char">
    <w:name w:val="Heading 1 Char"/>
    <w:link w:val="Heading1"/>
    <w:uiPriority w:val="9"/>
    <w:rsid w:val="009D6729"/>
    <w:rPr>
      <w:rFonts w:ascii="Times New Roman" w:eastAsia="Times New Roman" w:hAnsi="Times New Roman" w:cs="Times New Roman"/>
      <w:b/>
      <w:bCs/>
      <w:kern w:val="36"/>
      <w:sz w:val="48"/>
      <w:szCs w:val="48"/>
    </w:rPr>
  </w:style>
  <w:style w:type="table" w:styleId="TableGrid">
    <w:name w:val="Table Grid"/>
    <w:basedOn w:val="TableNormal"/>
    <w:uiPriority w:val="59"/>
    <w:rsid w:val="00521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7392"/>
    <w:pPr>
      <w:tabs>
        <w:tab w:val="center" w:pos="4680"/>
        <w:tab w:val="right" w:pos="9360"/>
      </w:tabs>
      <w:spacing w:after="0" w:line="240" w:lineRule="auto"/>
    </w:pPr>
  </w:style>
  <w:style w:type="character" w:customStyle="1" w:styleId="HeaderChar">
    <w:name w:val="Header Char"/>
    <w:link w:val="Header"/>
    <w:uiPriority w:val="99"/>
    <w:rsid w:val="00177392"/>
    <w:rPr>
      <w:lang w:val="id-ID"/>
    </w:rPr>
  </w:style>
  <w:style w:type="character" w:customStyle="1" w:styleId="ListParagraphChar">
    <w:name w:val="List Paragraph Char"/>
    <w:link w:val="ListParagraph"/>
    <w:uiPriority w:val="34"/>
    <w:locked/>
    <w:rsid w:val="00E50808"/>
    <w:rPr>
      <w:lang w:val="id-ID"/>
    </w:rPr>
  </w:style>
  <w:style w:type="paragraph" w:styleId="Title">
    <w:name w:val="Title"/>
    <w:basedOn w:val="Normal"/>
    <w:link w:val="TitleChar"/>
    <w:qFormat/>
    <w:rsid w:val="008E747C"/>
    <w:pPr>
      <w:spacing w:after="0" w:line="240" w:lineRule="auto"/>
      <w:jc w:val="center"/>
    </w:pPr>
    <w:rPr>
      <w:rFonts w:ascii="Times New Roman" w:eastAsia="Times New Roman" w:hAnsi="Times New Roman" w:cs="Traditional Arabic"/>
      <w:sz w:val="24"/>
      <w:szCs w:val="20"/>
      <w:lang w:val="en-US"/>
    </w:rPr>
  </w:style>
  <w:style w:type="character" w:customStyle="1" w:styleId="TitleChar">
    <w:name w:val="Title Char"/>
    <w:link w:val="Title"/>
    <w:rsid w:val="008E747C"/>
    <w:rPr>
      <w:rFonts w:ascii="Times New Roman" w:eastAsia="Times New Roman" w:hAnsi="Times New Roman" w:cs="Traditional Arabic"/>
      <w:sz w:val="24"/>
      <w:szCs w:val="20"/>
    </w:rPr>
  </w:style>
  <w:style w:type="character" w:customStyle="1" w:styleId="gen">
    <w:name w:val="gen"/>
    <w:basedOn w:val="DefaultParagraphFont"/>
    <w:rsid w:val="008E747C"/>
  </w:style>
  <w:style w:type="paragraph" w:customStyle="1" w:styleId="DaftarPustakaRefferences">
    <w:name w:val="Daftar Pustaka/Refferences"/>
    <w:basedOn w:val="Normal"/>
    <w:link w:val="DaftarPustakaRefferencesChar"/>
    <w:autoRedefine/>
    <w:qFormat/>
    <w:rsid w:val="003E6327"/>
    <w:pPr>
      <w:suppressLineNumbers/>
      <w:spacing w:after="240" w:line="240" w:lineRule="auto"/>
      <w:ind w:left="630" w:hanging="630"/>
    </w:pPr>
    <w:rPr>
      <w:rFonts w:ascii="Times New Roman" w:eastAsia="Times New Roman" w:hAnsi="Times New Roman" w:cs="Times New Roman"/>
      <w:noProof/>
      <w:szCs w:val="20"/>
      <w:lang w:val="en-US"/>
    </w:rPr>
  </w:style>
  <w:style w:type="character" w:customStyle="1" w:styleId="DaftarPustakaRefferencesChar">
    <w:name w:val="Daftar Pustaka/Refferences Char"/>
    <w:link w:val="DaftarPustakaRefferences"/>
    <w:rsid w:val="003E6327"/>
    <w:rPr>
      <w:rFonts w:ascii="Times New Roman" w:eastAsia="Times New Roman" w:hAnsi="Times New Roman" w:cs="Times New Roman"/>
      <w:noProof/>
      <w:sz w:val="22"/>
      <w:lang w:eastAsia="en-US"/>
    </w:rPr>
  </w:style>
  <w:style w:type="character" w:customStyle="1" w:styleId="Heading2Char">
    <w:name w:val="Heading 2 Char"/>
    <w:basedOn w:val="DefaultParagraphFont"/>
    <w:link w:val="Heading2"/>
    <w:uiPriority w:val="99"/>
    <w:rsid w:val="00FB0758"/>
    <w:rPr>
      <w:rFonts w:ascii="Comic Sans MS" w:eastAsia="Times New Roman" w:hAnsi="Comic Sans MS" w:cs="Comic Sans MS"/>
      <w:b/>
      <w:bCs/>
      <w:w w:val="80"/>
      <w:sz w:val="24"/>
      <w:szCs w:val="24"/>
    </w:rPr>
  </w:style>
  <w:style w:type="paragraph" w:styleId="BodyTextIndent">
    <w:name w:val="Body Text Indent"/>
    <w:basedOn w:val="Normal"/>
    <w:link w:val="BodyTextIndentChar"/>
    <w:rsid w:val="00FB0758"/>
    <w:pPr>
      <w:tabs>
        <w:tab w:val="left" w:pos="1440"/>
      </w:tabs>
      <w:autoSpaceDE w:val="0"/>
      <w:autoSpaceDN w:val="0"/>
      <w:spacing w:after="0" w:line="360" w:lineRule="auto"/>
      <w:ind w:left="1440"/>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FB0758"/>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B0758"/>
    <w:pPr>
      <w:spacing w:after="120" w:line="240" w:lineRule="auto"/>
      <w:ind w:left="360"/>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uiPriority w:val="99"/>
    <w:semiHidden/>
    <w:rsid w:val="00FB0758"/>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FB0758"/>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FB0758"/>
    <w:rPr>
      <w:rFonts w:ascii="Tahoma" w:eastAsia="Times New Roman" w:hAnsi="Tahoma" w:cs="Tahoma"/>
      <w:sz w:val="16"/>
      <w:szCs w:val="16"/>
    </w:rPr>
  </w:style>
  <w:style w:type="table" w:customStyle="1" w:styleId="PlainTable21">
    <w:name w:val="Plain Table 21"/>
    <w:basedOn w:val="TableNormal"/>
    <w:uiPriority w:val="42"/>
    <w:rsid w:val="004A422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ghtShading">
    <w:name w:val="Light Shading"/>
    <w:basedOn w:val="TableNormal"/>
    <w:uiPriority w:val="60"/>
    <w:rsid w:val="002931F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3">
    <w:name w:val="Light Shading Accent 3"/>
    <w:basedOn w:val="TableNormal"/>
    <w:uiPriority w:val="60"/>
    <w:rsid w:val="002931F6"/>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customStyle="1" w:styleId="PlainTable22">
    <w:name w:val="Plain Table 22"/>
    <w:basedOn w:val="TableNormal"/>
    <w:uiPriority w:val="42"/>
    <w:rsid w:val="000F14D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rsid w:val="000D6C25"/>
    <w:rPr>
      <w:color w:val="605E5C"/>
      <w:shd w:val="clear" w:color="auto" w:fill="E1DFDD"/>
    </w:rPr>
  </w:style>
  <w:style w:type="paragraph" w:styleId="BodyText">
    <w:name w:val="Body Text"/>
    <w:basedOn w:val="Normal"/>
    <w:link w:val="BodyTextChar"/>
    <w:uiPriority w:val="99"/>
    <w:semiHidden/>
    <w:unhideWhenUsed/>
    <w:rsid w:val="00821792"/>
    <w:pPr>
      <w:spacing w:after="120"/>
    </w:pPr>
  </w:style>
  <w:style w:type="character" w:customStyle="1" w:styleId="BodyTextChar">
    <w:name w:val="Body Text Char"/>
    <w:basedOn w:val="DefaultParagraphFont"/>
    <w:link w:val="BodyText"/>
    <w:uiPriority w:val="99"/>
    <w:semiHidden/>
    <w:rsid w:val="00821792"/>
    <w:rPr>
      <w:sz w:val="22"/>
      <w:szCs w:val="22"/>
      <w:lang w:val="id-ID"/>
    </w:rPr>
  </w:style>
  <w:style w:type="character" w:styleId="UnresolvedMention">
    <w:name w:val="Unresolved Mention"/>
    <w:basedOn w:val="DefaultParagraphFont"/>
    <w:uiPriority w:val="99"/>
    <w:semiHidden/>
    <w:unhideWhenUsed/>
    <w:rsid w:val="007647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636209">
      <w:bodyDiv w:val="1"/>
      <w:marLeft w:val="0"/>
      <w:marRight w:val="0"/>
      <w:marTop w:val="0"/>
      <w:marBottom w:val="0"/>
      <w:divBdr>
        <w:top w:val="none" w:sz="0" w:space="0" w:color="auto"/>
        <w:left w:val="none" w:sz="0" w:space="0" w:color="auto"/>
        <w:bottom w:val="none" w:sz="0" w:space="0" w:color="auto"/>
        <w:right w:val="none" w:sz="0" w:space="0" w:color="auto"/>
      </w:divBdr>
      <w:divsChild>
        <w:div w:id="1904023494">
          <w:marLeft w:val="0"/>
          <w:marRight w:val="0"/>
          <w:marTop w:val="0"/>
          <w:marBottom w:val="0"/>
          <w:divBdr>
            <w:top w:val="none" w:sz="0" w:space="0" w:color="auto"/>
            <w:left w:val="none" w:sz="0" w:space="0" w:color="auto"/>
            <w:bottom w:val="none" w:sz="0" w:space="0" w:color="auto"/>
            <w:right w:val="none" w:sz="0" w:space="0" w:color="auto"/>
          </w:divBdr>
        </w:div>
      </w:divsChild>
    </w:div>
    <w:div w:id="550115108">
      <w:bodyDiv w:val="1"/>
      <w:marLeft w:val="0"/>
      <w:marRight w:val="0"/>
      <w:marTop w:val="0"/>
      <w:marBottom w:val="0"/>
      <w:divBdr>
        <w:top w:val="none" w:sz="0" w:space="0" w:color="auto"/>
        <w:left w:val="none" w:sz="0" w:space="0" w:color="auto"/>
        <w:bottom w:val="none" w:sz="0" w:space="0" w:color="auto"/>
        <w:right w:val="none" w:sz="0" w:space="0" w:color="auto"/>
      </w:divBdr>
    </w:div>
    <w:div w:id="601304021">
      <w:bodyDiv w:val="1"/>
      <w:marLeft w:val="0"/>
      <w:marRight w:val="0"/>
      <w:marTop w:val="0"/>
      <w:marBottom w:val="0"/>
      <w:divBdr>
        <w:top w:val="none" w:sz="0" w:space="0" w:color="auto"/>
        <w:left w:val="none" w:sz="0" w:space="0" w:color="auto"/>
        <w:bottom w:val="none" w:sz="0" w:space="0" w:color="auto"/>
        <w:right w:val="none" w:sz="0" w:space="0" w:color="auto"/>
      </w:divBdr>
    </w:div>
    <w:div w:id="743524514">
      <w:bodyDiv w:val="1"/>
      <w:marLeft w:val="0"/>
      <w:marRight w:val="0"/>
      <w:marTop w:val="0"/>
      <w:marBottom w:val="0"/>
      <w:divBdr>
        <w:top w:val="none" w:sz="0" w:space="0" w:color="auto"/>
        <w:left w:val="none" w:sz="0" w:space="0" w:color="auto"/>
        <w:bottom w:val="none" w:sz="0" w:space="0" w:color="auto"/>
        <w:right w:val="none" w:sz="0" w:space="0" w:color="auto"/>
      </w:divBdr>
    </w:div>
    <w:div w:id="1090542996">
      <w:bodyDiv w:val="1"/>
      <w:marLeft w:val="0"/>
      <w:marRight w:val="0"/>
      <w:marTop w:val="0"/>
      <w:marBottom w:val="0"/>
      <w:divBdr>
        <w:top w:val="none" w:sz="0" w:space="0" w:color="auto"/>
        <w:left w:val="none" w:sz="0" w:space="0" w:color="auto"/>
        <w:bottom w:val="none" w:sz="0" w:space="0" w:color="auto"/>
        <w:right w:val="none" w:sz="0" w:space="0" w:color="auto"/>
      </w:divBdr>
    </w:div>
    <w:div w:id="1359502672">
      <w:bodyDiv w:val="1"/>
      <w:marLeft w:val="0"/>
      <w:marRight w:val="0"/>
      <w:marTop w:val="0"/>
      <w:marBottom w:val="0"/>
      <w:divBdr>
        <w:top w:val="none" w:sz="0" w:space="0" w:color="auto"/>
        <w:left w:val="none" w:sz="0" w:space="0" w:color="auto"/>
        <w:bottom w:val="none" w:sz="0" w:space="0" w:color="auto"/>
        <w:right w:val="none" w:sz="0" w:space="0" w:color="auto"/>
      </w:divBdr>
    </w:div>
    <w:div w:id="1744142166">
      <w:bodyDiv w:val="1"/>
      <w:marLeft w:val="0"/>
      <w:marRight w:val="0"/>
      <w:marTop w:val="0"/>
      <w:marBottom w:val="0"/>
      <w:divBdr>
        <w:top w:val="none" w:sz="0" w:space="0" w:color="auto"/>
        <w:left w:val="none" w:sz="0" w:space="0" w:color="auto"/>
        <w:bottom w:val="none" w:sz="0" w:space="0" w:color="auto"/>
        <w:right w:val="none" w:sz="0" w:space="0" w:color="auto"/>
      </w:divBdr>
      <w:divsChild>
        <w:div w:id="110059216">
          <w:marLeft w:val="0"/>
          <w:marRight w:val="0"/>
          <w:marTop w:val="0"/>
          <w:marBottom w:val="0"/>
          <w:divBdr>
            <w:top w:val="none" w:sz="0" w:space="0" w:color="auto"/>
            <w:left w:val="none" w:sz="0" w:space="0" w:color="auto"/>
            <w:bottom w:val="none" w:sz="0" w:space="0" w:color="auto"/>
            <w:right w:val="none" w:sz="0" w:space="0" w:color="auto"/>
          </w:divBdr>
        </w:div>
        <w:div w:id="1558085433">
          <w:marLeft w:val="0"/>
          <w:marRight w:val="0"/>
          <w:marTop w:val="0"/>
          <w:marBottom w:val="0"/>
          <w:divBdr>
            <w:top w:val="none" w:sz="0" w:space="0" w:color="auto"/>
            <w:left w:val="none" w:sz="0" w:space="0" w:color="auto"/>
            <w:bottom w:val="none" w:sz="0" w:space="0" w:color="auto"/>
            <w:right w:val="none" w:sz="0" w:space="0" w:color="auto"/>
          </w:divBdr>
        </w:div>
        <w:div w:id="1578712936">
          <w:marLeft w:val="0"/>
          <w:marRight w:val="0"/>
          <w:marTop w:val="0"/>
          <w:marBottom w:val="0"/>
          <w:divBdr>
            <w:top w:val="none" w:sz="0" w:space="0" w:color="auto"/>
            <w:left w:val="none" w:sz="0" w:space="0" w:color="auto"/>
            <w:bottom w:val="none" w:sz="0" w:space="0" w:color="auto"/>
            <w:right w:val="none" w:sz="0" w:space="0" w:color="auto"/>
          </w:divBdr>
        </w:div>
      </w:divsChild>
    </w:div>
    <w:div w:id="1879120937">
      <w:bodyDiv w:val="1"/>
      <w:marLeft w:val="0"/>
      <w:marRight w:val="0"/>
      <w:marTop w:val="0"/>
      <w:marBottom w:val="0"/>
      <w:divBdr>
        <w:top w:val="none" w:sz="0" w:space="0" w:color="auto"/>
        <w:left w:val="none" w:sz="0" w:space="0" w:color="auto"/>
        <w:bottom w:val="none" w:sz="0" w:space="0" w:color="auto"/>
        <w:right w:val="none" w:sz="0" w:space="0" w:color="auto"/>
      </w:divBdr>
    </w:div>
    <w:div w:id="2090106764">
      <w:bodyDiv w:val="1"/>
      <w:marLeft w:val="0"/>
      <w:marRight w:val="0"/>
      <w:marTop w:val="0"/>
      <w:marBottom w:val="0"/>
      <w:divBdr>
        <w:top w:val="none" w:sz="0" w:space="0" w:color="auto"/>
        <w:left w:val="none" w:sz="0" w:space="0" w:color="auto"/>
        <w:bottom w:val="none" w:sz="0" w:space="0" w:color="auto"/>
        <w:right w:val="none" w:sz="0" w:space="0" w:color="auto"/>
      </w:divBdr>
      <w:divsChild>
        <w:div w:id="33847947">
          <w:marLeft w:val="0"/>
          <w:marRight w:val="0"/>
          <w:marTop w:val="0"/>
          <w:marBottom w:val="0"/>
          <w:divBdr>
            <w:top w:val="none" w:sz="0" w:space="0" w:color="auto"/>
            <w:left w:val="none" w:sz="0" w:space="0" w:color="auto"/>
            <w:bottom w:val="none" w:sz="0" w:space="0" w:color="auto"/>
            <w:right w:val="none" w:sz="0" w:space="0" w:color="auto"/>
          </w:divBdr>
        </w:div>
        <w:div w:id="106700968">
          <w:marLeft w:val="0"/>
          <w:marRight w:val="0"/>
          <w:marTop w:val="0"/>
          <w:marBottom w:val="0"/>
          <w:divBdr>
            <w:top w:val="none" w:sz="0" w:space="0" w:color="auto"/>
            <w:left w:val="none" w:sz="0" w:space="0" w:color="auto"/>
            <w:bottom w:val="none" w:sz="0" w:space="0" w:color="auto"/>
            <w:right w:val="none" w:sz="0" w:space="0" w:color="auto"/>
          </w:divBdr>
        </w:div>
        <w:div w:id="406853151">
          <w:marLeft w:val="0"/>
          <w:marRight w:val="0"/>
          <w:marTop w:val="0"/>
          <w:marBottom w:val="0"/>
          <w:divBdr>
            <w:top w:val="none" w:sz="0" w:space="0" w:color="auto"/>
            <w:left w:val="none" w:sz="0" w:space="0" w:color="auto"/>
            <w:bottom w:val="none" w:sz="0" w:space="0" w:color="auto"/>
            <w:right w:val="none" w:sz="0" w:space="0" w:color="auto"/>
          </w:divBdr>
        </w:div>
        <w:div w:id="709913167">
          <w:marLeft w:val="0"/>
          <w:marRight w:val="0"/>
          <w:marTop w:val="0"/>
          <w:marBottom w:val="0"/>
          <w:divBdr>
            <w:top w:val="none" w:sz="0" w:space="0" w:color="auto"/>
            <w:left w:val="none" w:sz="0" w:space="0" w:color="auto"/>
            <w:bottom w:val="none" w:sz="0" w:space="0" w:color="auto"/>
            <w:right w:val="none" w:sz="0" w:space="0" w:color="auto"/>
          </w:divBdr>
        </w:div>
        <w:div w:id="976372176">
          <w:marLeft w:val="0"/>
          <w:marRight w:val="0"/>
          <w:marTop w:val="0"/>
          <w:marBottom w:val="0"/>
          <w:divBdr>
            <w:top w:val="none" w:sz="0" w:space="0" w:color="auto"/>
            <w:left w:val="none" w:sz="0" w:space="0" w:color="auto"/>
            <w:bottom w:val="none" w:sz="0" w:space="0" w:color="auto"/>
            <w:right w:val="none" w:sz="0" w:space="0" w:color="auto"/>
          </w:divBdr>
        </w:div>
        <w:div w:id="1181119423">
          <w:marLeft w:val="0"/>
          <w:marRight w:val="0"/>
          <w:marTop w:val="0"/>
          <w:marBottom w:val="0"/>
          <w:divBdr>
            <w:top w:val="none" w:sz="0" w:space="0" w:color="auto"/>
            <w:left w:val="none" w:sz="0" w:space="0" w:color="auto"/>
            <w:bottom w:val="none" w:sz="0" w:space="0" w:color="auto"/>
            <w:right w:val="none" w:sz="0" w:space="0" w:color="auto"/>
          </w:divBdr>
        </w:div>
        <w:div w:id="1262181420">
          <w:marLeft w:val="0"/>
          <w:marRight w:val="0"/>
          <w:marTop w:val="0"/>
          <w:marBottom w:val="0"/>
          <w:divBdr>
            <w:top w:val="none" w:sz="0" w:space="0" w:color="auto"/>
            <w:left w:val="none" w:sz="0" w:space="0" w:color="auto"/>
            <w:bottom w:val="none" w:sz="0" w:space="0" w:color="auto"/>
            <w:right w:val="none" w:sz="0" w:space="0" w:color="auto"/>
          </w:divBdr>
        </w:div>
        <w:div w:id="1510825444">
          <w:marLeft w:val="0"/>
          <w:marRight w:val="0"/>
          <w:marTop w:val="0"/>
          <w:marBottom w:val="0"/>
          <w:divBdr>
            <w:top w:val="none" w:sz="0" w:space="0" w:color="auto"/>
            <w:left w:val="none" w:sz="0" w:space="0" w:color="auto"/>
            <w:bottom w:val="none" w:sz="0" w:space="0" w:color="auto"/>
            <w:right w:val="none" w:sz="0" w:space="0" w:color="auto"/>
          </w:divBdr>
        </w:div>
        <w:div w:id="1807699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rive.google.com/file/d/1YFzLjQ6pjWqhXuwx8YwpSL_fbYJWdyit/view"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drive.google.com/file/d/1YFzLjQ6pjWqhXuwx8YwpSL_fbYJWdyit/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03CE7-8D03-4ACD-862A-715CAF4D7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8698</TotalTime>
  <Pages>22</Pages>
  <Words>6059</Words>
  <Characters>34537</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aisyah</dc:creator>
  <cp:lastModifiedBy>alqolam4@alqolam.ac.id</cp:lastModifiedBy>
  <cp:revision>396</cp:revision>
  <cp:lastPrinted>2020-05-17T14:08:00Z</cp:lastPrinted>
  <dcterms:created xsi:type="dcterms:W3CDTF">2018-04-13T21:35:00Z</dcterms:created>
  <dcterms:modified xsi:type="dcterms:W3CDTF">2021-08-20T06:36:00Z</dcterms:modified>
</cp:coreProperties>
</file>